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C0798" w14:textId="77777777" w:rsidR="007D75CF" w:rsidRPr="00202A77" w:rsidRDefault="007D75CF" w:rsidP="007D75CF">
      <w:bookmarkStart w:id="0" w:name="_GoBack"/>
      <w:bookmarkEnd w:id="0"/>
    </w:p>
    <w:p w14:paraId="72F0FF05" w14:textId="77777777" w:rsidR="00890445" w:rsidRDefault="00890445" w:rsidP="00174956">
      <w:pPr>
        <w:pStyle w:val="ZADEVA"/>
        <w:jc w:val="both"/>
        <w:rPr>
          <w:lang w:val="sl-SI"/>
        </w:rPr>
      </w:pPr>
    </w:p>
    <w:p w14:paraId="2274535C" w14:textId="77777777" w:rsidR="00890445" w:rsidRDefault="00890445" w:rsidP="00174956">
      <w:pPr>
        <w:pStyle w:val="ZADEVA"/>
        <w:jc w:val="both"/>
        <w:rPr>
          <w:lang w:val="sl-SI"/>
        </w:rPr>
      </w:pPr>
    </w:p>
    <w:p w14:paraId="0D98F512" w14:textId="77777777" w:rsidR="00890445" w:rsidRDefault="00890445" w:rsidP="00174956">
      <w:pPr>
        <w:pStyle w:val="ZADEVA"/>
        <w:jc w:val="both"/>
        <w:rPr>
          <w:lang w:val="sl-SI"/>
        </w:rPr>
      </w:pPr>
    </w:p>
    <w:p w14:paraId="1D2C3BA5" w14:textId="77777777" w:rsidR="00F454D2" w:rsidRDefault="007D75CF" w:rsidP="00174956">
      <w:pPr>
        <w:pStyle w:val="ZADEVA"/>
        <w:jc w:val="both"/>
        <w:rPr>
          <w:lang w:val="sl-SI"/>
        </w:rPr>
      </w:pPr>
      <w:r w:rsidRPr="00202A77">
        <w:rPr>
          <w:lang w:val="sl-SI"/>
        </w:rPr>
        <w:t xml:space="preserve">Zadeva: </w:t>
      </w:r>
      <w:r w:rsidRPr="00202A77">
        <w:rPr>
          <w:lang w:val="sl-SI"/>
        </w:rPr>
        <w:tab/>
      </w:r>
      <w:r w:rsidR="00F454D2">
        <w:rPr>
          <w:lang w:val="sl-SI"/>
        </w:rPr>
        <w:t>Delegirana uredba Komisije (EU) 2018/1063 z dne 16. maja 2018 o spremembi in popravku Delegirane uredbe (EU) 2015/2446 o dopolnitvi Uredbe (EU) št. 952/2013 Evropskega parlamenta in Sveta o podrobnih pravilih v zvezi z nekaterimi določbami carinskega zakonika Unije</w:t>
      </w:r>
    </w:p>
    <w:p w14:paraId="44F8F24C" w14:textId="77777777" w:rsidR="00F454D2" w:rsidRDefault="00F454D2" w:rsidP="00DC6A71">
      <w:pPr>
        <w:pStyle w:val="ZADEVA"/>
        <w:rPr>
          <w:lang w:val="sl-SI"/>
        </w:rPr>
      </w:pPr>
    </w:p>
    <w:p w14:paraId="3FFE5BED" w14:textId="77777777" w:rsidR="00890445" w:rsidRDefault="00890445" w:rsidP="007D46CE">
      <w:pPr>
        <w:jc w:val="both"/>
      </w:pPr>
    </w:p>
    <w:p w14:paraId="1D7420C8" w14:textId="77777777" w:rsidR="007D75CF" w:rsidRDefault="00F454D2" w:rsidP="007D46CE">
      <w:pPr>
        <w:jc w:val="both"/>
      </w:pPr>
      <w:r>
        <w:t xml:space="preserve">V Uradnem listu EU L </w:t>
      </w:r>
      <w:r w:rsidR="00174956">
        <w:t>192 z dne 30. 7. 2018</w:t>
      </w:r>
      <w:r w:rsidR="00B97640">
        <w:t>,</w:t>
      </w:r>
      <w:r w:rsidR="00174956">
        <w:t xml:space="preserve"> je bila objavljena Delegirana uredba Komisije (EU) 2018/1063 z dne 16. maja 2018 o spremembi in popravku Delegirane uredbe (EU) 2015/2446 o dopolnitvi Uredbe (EU) št. 952/2013 Evropskega parlamenta in Sveta o podrobnih pravilih v zvezi z nekaterimi določbami carinskega zakonika Unije (v nadaljevanju: Delegirana uredba Komisije (EU) 2018/1063). </w:t>
      </w:r>
    </w:p>
    <w:p w14:paraId="0B1A63F6" w14:textId="77777777" w:rsidR="00174956" w:rsidRDefault="00174956" w:rsidP="007D46CE">
      <w:pPr>
        <w:jc w:val="both"/>
      </w:pPr>
    </w:p>
    <w:p w14:paraId="0E799CE7" w14:textId="0370E54E" w:rsidR="00174956" w:rsidRPr="00202A77" w:rsidRDefault="00174956" w:rsidP="007D46CE">
      <w:pPr>
        <w:jc w:val="both"/>
      </w:pPr>
      <w:r>
        <w:t xml:space="preserve">Praktično izvajanje Uredbe (EU) št. 925/2013 Evropskega parlamenta in Sveta z dne 9. oktobra 2013 o carinskem zakoniku Unije (v nadaljevanju: </w:t>
      </w:r>
      <w:r w:rsidR="00C672BF">
        <w:t>CZU</w:t>
      </w:r>
      <w:r>
        <w:t xml:space="preserve">) skupaj z </w:t>
      </w:r>
      <w:r w:rsidR="00BD303E">
        <w:t>D</w:t>
      </w:r>
      <w:r>
        <w:t>elegirano</w:t>
      </w:r>
      <w:r w:rsidR="00186919">
        <w:t xml:space="preserve"> uredbo Komisije (EU) 2015/2446 </w:t>
      </w:r>
      <w:r>
        <w:t xml:space="preserve">z dne 28. julija 2015 o dopolnitvi Uredbe (EU) št. 925/2015 Evropskega parlamenta in Sveta o podrobnih pravilih v zvezi z nekaterimi določbami carinskega zakonika Unije (v nadaljevanju: </w:t>
      </w:r>
      <w:r w:rsidR="002013A7">
        <w:t>DU</w:t>
      </w:r>
      <w:r>
        <w:t>)</w:t>
      </w:r>
      <w:r w:rsidR="00391DA7">
        <w:t xml:space="preserve">, </w:t>
      </w:r>
      <w:r>
        <w:t xml:space="preserve"> je pokazalo, da je </w:t>
      </w:r>
      <w:r w:rsidR="00423C9B">
        <w:t xml:space="preserve">v DU potrebno spremeniti nekatere določbe, </w:t>
      </w:r>
      <w:r w:rsidR="001966B4">
        <w:t>za katere se je izkazalo, da j</w:t>
      </w:r>
      <w:r w:rsidR="00423C9B">
        <w:t xml:space="preserve">ih je težko uporabiti v praksi in jo na tak način bolje prilagoditi potrebam gospodarskih subjektov in carinskih organov. </w:t>
      </w:r>
      <w:r w:rsidR="00391DA7">
        <w:t xml:space="preserve">V nadaljevanju so podani opisi sprememb. </w:t>
      </w:r>
    </w:p>
    <w:p w14:paraId="6A84F6CC" w14:textId="77777777" w:rsidR="00F57FED" w:rsidRDefault="00F57FED" w:rsidP="007D75CF"/>
    <w:p w14:paraId="09FCE8BF" w14:textId="77777777" w:rsidR="00967E63" w:rsidRDefault="00FB47CC" w:rsidP="007D75CF">
      <w:pPr>
        <w:rPr>
          <w:u w:val="single"/>
        </w:rPr>
      </w:pPr>
      <w:r>
        <w:rPr>
          <w:u w:val="single"/>
        </w:rPr>
        <w:t>Izvoznik</w:t>
      </w:r>
      <w:r w:rsidR="001966B4">
        <w:rPr>
          <w:u w:val="single"/>
        </w:rPr>
        <w:t xml:space="preserve"> </w:t>
      </w:r>
    </w:p>
    <w:p w14:paraId="4679ABCC" w14:textId="20731BC1" w:rsidR="00FB47CC" w:rsidRDefault="00FB47CC" w:rsidP="00FB47CC">
      <w:pPr>
        <w:jc w:val="both"/>
      </w:pPr>
      <w:r>
        <w:t>V členu 1(19) DU je spremenje</w:t>
      </w:r>
      <w:r w:rsidR="00D20134">
        <w:t xml:space="preserve">na opredelitev pojma izvoznika </w:t>
      </w:r>
      <w:r>
        <w:t>v povezavi z izvozom blaga, ki ga ne prenaša fizična oseba v svoji osebni prtljagi.</w:t>
      </w:r>
      <w:r w:rsidR="002013A7">
        <w:t xml:space="preserve"> </w:t>
      </w:r>
      <w:r>
        <w:t xml:space="preserve">Izvoznik je opredeljen kot oseba s sedežem na carinskem območju Unije, ki ima pooblastilo za odločanje o iznosu blaga z navedenega carinskega območja, o čemer je tudi sprejela odločitev. Če se ta opredelitev ne uporablja, pa </w:t>
      </w:r>
      <w:r w:rsidR="00BD303E">
        <w:t xml:space="preserve">je izvoznik </w:t>
      </w:r>
      <w:r>
        <w:t xml:space="preserve">oseba s sedežem na carinskem območju Unije, ki je stranka pogodbe, v skladu s katero se bo blago izneslo z navedenega carinskega območja. </w:t>
      </w:r>
    </w:p>
    <w:p w14:paraId="44C084BB" w14:textId="77777777" w:rsidR="002013A7" w:rsidRDefault="002013A7" w:rsidP="00FB47CC">
      <w:pPr>
        <w:jc w:val="both"/>
      </w:pPr>
    </w:p>
    <w:p w14:paraId="28B0C8AF" w14:textId="1D19A081" w:rsidR="00FB47CC" w:rsidRDefault="00FB47CC" w:rsidP="00FB47CC">
      <w:pPr>
        <w:jc w:val="both"/>
      </w:pPr>
      <w:r>
        <w:t xml:space="preserve">Nova opredelitev je od dosedanje širša, saj ne pogojuje, da ima izvoznik sklenjeno pogodbo s prejemnikom v zadevni tretji državi. Samo v primerih, ko se poslovni partnerji ne strinjajo o tem, kdo lahko deluje kot izvoznik, ali oseba nima sedeža na carinskem območju Unije, se izvoznik določi na podlagi carinske zakonodaje. </w:t>
      </w:r>
    </w:p>
    <w:p w14:paraId="770447F5" w14:textId="77777777" w:rsidR="00F771EE" w:rsidRDefault="00F771EE" w:rsidP="00FB47CC">
      <w:pPr>
        <w:jc w:val="both"/>
      </w:pPr>
    </w:p>
    <w:p w14:paraId="7A4974B7" w14:textId="77777777" w:rsidR="00F771EE" w:rsidRDefault="00F771EE" w:rsidP="00B97640">
      <w:pPr>
        <w:jc w:val="both"/>
        <w:rPr>
          <w:u w:val="single"/>
        </w:rPr>
      </w:pPr>
    </w:p>
    <w:p w14:paraId="210FB7BE" w14:textId="77777777" w:rsidR="001966B4" w:rsidRDefault="009417B5" w:rsidP="00B97640">
      <w:pPr>
        <w:jc w:val="both"/>
        <w:rPr>
          <w:u w:val="single"/>
        </w:rPr>
      </w:pPr>
      <w:r>
        <w:rPr>
          <w:u w:val="single"/>
        </w:rPr>
        <w:t>Pridobitev d</w:t>
      </w:r>
      <w:r w:rsidR="001966B4">
        <w:rPr>
          <w:u w:val="single"/>
        </w:rPr>
        <w:t>okazil</w:t>
      </w:r>
      <w:r>
        <w:rPr>
          <w:u w:val="single"/>
        </w:rPr>
        <w:t>a</w:t>
      </w:r>
      <w:r w:rsidR="001966B4">
        <w:rPr>
          <w:u w:val="single"/>
        </w:rPr>
        <w:t xml:space="preserve"> o carinskem statusu </w:t>
      </w:r>
      <w:proofErr w:type="spellStart"/>
      <w:r>
        <w:rPr>
          <w:u w:val="single"/>
        </w:rPr>
        <w:t>unijskega</w:t>
      </w:r>
      <w:proofErr w:type="spellEnd"/>
      <w:r>
        <w:rPr>
          <w:u w:val="single"/>
        </w:rPr>
        <w:t xml:space="preserve"> blaga – gospodarski subjekti, ki nimajo sedeža na carinskem območju Unije </w:t>
      </w:r>
    </w:p>
    <w:p w14:paraId="7308C984" w14:textId="7AFC7F98" w:rsidR="00706E00" w:rsidRDefault="002013A7" w:rsidP="00391DA7">
      <w:pPr>
        <w:jc w:val="both"/>
      </w:pPr>
      <w:r>
        <w:t xml:space="preserve">V členu 5(1) </w:t>
      </w:r>
      <w:r w:rsidR="008B4CD4">
        <w:t xml:space="preserve">DU </w:t>
      </w:r>
      <w:r>
        <w:t xml:space="preserve">se doda točka </w:t>
      </w:r>
      <w:r w:rsidR="00BD303E">
        <w:t>(</w:t>
      </w:r>
      <w:r>
        <w:t xml:space="preserve">f), s katero se za gospodarskega subjekta, ki nima sedeža na carinskem območju Unije, dodatno določa, da se registrira preden zahteva registracijo in potrditev dokazila o carinskem statusu </w:t>
      </w:r>
      <w:proofErr w:type="spellStart"/>
      <w:r>
        <w:t>unijskega</w:t>
      </w:r>
      <w:proofErr w:type="spellEnd"/>
      <w:r>
        <w:t xml:space="preserve"> blaga. S spremembo se tako o</w:t>
      </w:r>
      <w:r w:rsidR="00706E00" w:rsidRPr="00706E00">
        <w:t>d oseb, ki zahtevajo dokazilo o carinskem statusu blaga, ne glede na to</w:t>
      </w:r>
      <w:r w:rsidR="00706E00">
        <w:t xml:space="preserve">, ali imajo sedež na carinskem območju Unije ali ne, zahteva, da zaprosijo za številko EORI, ki jim omogoča dostop do sistema dokazila o statusu Unije v okviru </w:t>
      </w:r>
      <w:r w:rsidR="00423C9B">
        <w:t xml:space="preserve">CZU. </w:t>
      </w:r>
    </w:p>
    <w:p w14:paraId="6F0F9447" w14:textId="77777777" w:rsidR="00F771EE" w:rsidRPr="00706E00" w:rsidRDefault="00F771EE" w:rsidP="00391DA7">
      <w:pPr>
        <w:jc w:val="both"/>
      </w:pPr>
    </w:p>
    <w:p w14:paraId="14A95ABD" w14:textId="77777777" w:rsidR="00B27738" w:rsidRDefault="009417B5" w:rsidP="007D75CF">
      <w:r w:rsidRPr="009417B5">
        <w:rPr>
          <w:u w:val="single"/>
        </w:rPr>
        <w:t>Izjeme pri pravici do izjave</w:t>
      </w:r>
      <w:r>
        <w:rPr>
          <w:u w:val="single"/>
        </w:rPr>
        <w:t xml:space="preserve"> </w:t>
      </w:r>
    </w:p>
    <w:p w14:paraId="400ABD28" w14:textId="66023A81" w:rsidR="0080201F" w:rsidRDefault="00FD2876" w:rsidP="00FD2876">
      <w:pPr>
        <w:jc w:val="both"/>
      </w:pPr>
      <w:r>
        <w:t>V povezavi s sprejemom</w:t>
      </w:r>
      <w:r w:rsidR="0080201F">
        <w:t xml:space="preserve"> zahtevka za izdajo carinskih odločb</w:t>
      </w:r>
      <w:r w:rsidR="00B97640">
        <w:t>,</w:t>
      </w:r>
      <w:r w:rsidR="0080201F">
        <w:t xml:space="preserve"> se s </w:t>
      </w:r>
      <w:r>
        <w:t xml:space="preserve">spremembo določbe člena 10(a) DU </w:t>
      </w:r>
      <w:r w:rsidR="005C4D2B">
        <w:t xml:space="preserve">pravica do izjave ne omogoči </w:t>
      </w:r>
      <w:r>
        <w:t xml:space="preserve">tistim vložnikom zahtevkov, ki carinskemu organu potem, ko so bili pozvani, naj predložijo ustrezne informacije, tega niso storili, </w:t>
      </w:r>
      <w:r w:rsidR="005C4D2B">
        <w:t>zaradi česar</w:t>
      </w:r>
      <w:r>
        <w:t xml:space="preserve"> carinski organ ni mo</w:t>
      </w:r>
      <w:r w:rsidR="005C4D2B">
        <w:t xml:space="preserve">gel sprejeti njihovega zahtevka </w:t>
      </w:r>
      <w:r>
        <w:t>(situacije iz drugega pododstavka člena 12(2) Izvedbene uredbe Komisije (E</w:t>
      </w:r>
      <w:r w:rsidR="00A55904">
        <w:t>U) 2015/2447</w:t>
      </w:r>
      <w:r w:rsidR="00BC4427">
        <w:t>; v nadaljevanju: IU</w:t>
      </w:r>
      <w:r w:rsidR="00A55904">
        <w:t>).</w:t>
      </w:r>
    </w:p>
    <w:p w14:paraId="43B8551D" w14:textId="77777777" w:rsidR="00F771EE" w:rsidRDefault="00F771EE" w:rsidP="00FD2876">
      <w:pPr>
        <w:jc w:val="both"/>
      </w:pPr>
    </w:p>
    <w:p w14:paraId="75BBAE07" w14:textId="77777777" w:rsidR="00043A54" w:rsidRPr="00D20134" w:rsidRDefault="00043A54" w:rsidP="00043A54">
      <w:pPr>
        <w:rPr>
          <w:u w:val="single"/>
        </w:rPr>
      </w:pPr>
      <w:r>
        <w:rPr>
          <w:u w:val="single"/>
        </w:rPr>
        <w:t>Poreklo blaga</w:t>
      </w:r>
    </w:p>
    <w:p w14:paraId="3C1029DF" w14:textId="01C5C1B1" w:rsidR="00043A54" w:rsidRPr="00D20134" w:rsidRDefault="00B97640" w:rsidP="00043A54">
      <w:pPr>
        <w:pStyle w:val="Odstavekseznama"/>
        <w:numPr>
          <w:ilvl w:val="0"/>
          <w:numId w:val="8"/>
        </w:numPr>
        <w:autoSpaceDE w:val="0"/>
        <w:autoSpaceDN w:val="0"/>
        <w:adjustRightInd w:val="0"/>
        <w:spacing w:after="0" w:line="260" w:lineRule="exact"/>
        <w:ind w:left="284" w:hanging="284"/>
        <w:jc w:val="both"/>
        <w:rPr>
          <w:rFonts w:ascii="Arial" w:hAnsi="Arial" w:cs="Arial"/>
          <w:sz w:val="20"/>
          <w:szCs w:val="20"/>
        </w:rPr>
      </w:pPr>
      <w:r>
        <w:rPr>
          <w:rFonts w:ascii="Arial" w:hAnsi="Arial" w:cs="Arial"/>
          <w:sz w:val="20"/>
          <w:szCs w:val="20"/>
        </w:rPr>
        <w:t>Č</w:t>
      </w:r>
      <w:r w:rsidR="00043A54" w:rsidRPr="00D20134">
        <w:rPr>
          <w:rFonts w:ascii="Arial" w:hAnsi="Arial" w:cs="Arial"/>
          <w:sz w:val="20"/>
          <w:szCs w:val="20"/>
        </w:rPr>
        <w:t>len 37(21)</w:t>
      </w:r>
      <w:r w:rsidR="00BD303E">
        <w:rPr>
          <w:rFonts w:ascii="Arial" w:hAnsi="Arial" w:cs="Arial"/>
          <w:sz w:val="20"/>
          <w:szCs w:val="20"/>
        </w:rPr>
        <w:t xml:space="preserve"> DU</w:t>
      </w:r>
      <w:r w:rsidR="00043A54" w:rsidRPr="00D20134">
        <w:rPr>
          <w:rFonts w:ascii="Arial" w:hAnsi="Arial" w:cs="Arial"/>
          <w:sz w:val="20"/>
          <w:szCs w:val="20"/>
        </w:rPr>
        <w:t>, točki (b) in (c)</w:t>
      </w:r>
      <w:r>
        <w:rPr>
          <w:rFonts w:ascii="Arial" w:hAnsi="Arial" w:cs="Arial"/>
          <w:sz w:val="20"/>
          <w:szCs w:val="20"/>
        </w:rPr>
        <w:t xml:space="preserve"> </w:t>
      </w:r>
      <w:r w:rsidR="00C672BF">
        <w:rPr>
          <w:rFonts w:ascii="Arial" w:hAnsi="Arial" w:cs="Arial"/>
          <w:sz w:val="20"/>
          <w:szCs w:val="20"/>
        </w:rPr>
        <w:t>č</w:t>
      </w:r>
      <w:r w:rsidR="00043A54" w:rsidRPr="00D20134">
        <w:rPr>
          <w:rFonts w:ascii="Arial" w:hAnsi="Arial" w:cs="Arial"/>
          <w:sz w:val="20"/>
          <w:szCs w:val="20"/>
        </w:rPr>
        <w:t xml:space="preserve">len 37 opredeljuje pojme v Oddelku 2 (preferencialno poreklo), v členu 37(21) </w:t>
      </w:r>
      <w:r w:rsidR="00BD303E">
        <w:rPr>
          <w:rFonts w:ascii="Arial" w:hAnsi="Arial" w:cs="Arial"/>
          <w:sz w:val="20"/>
          <w:szCs w:val="20"/>
        </w:rPr>
        <w:t xml:space="preserve">DU </w:t>
      </w:r>
      <w:r w:rsidR="00043A54" w:rsidRPr="00D20134">
        <w:rPr>
          <w:rFonts w:ascii="Arial" w:hAnsi="Arial" w:cs="Arial"/>
          <w:sz w:val="20"/>
          <w:szCs w:val="20"/>
        </w:rPr>
        <w:t xml:space="preserve">pa je natančen opis pojma »registrirani izvoznik«. Sprememba točke (b) navedenega člena se nanaša na izvoznika, ki ima sedež v državi članici in je registriran pri carinskih organih te države članice. Po novem je pojasnjeno, da so ti izvozniki registrirani za namene izvoza izdelkov s poreklom iz Unije v državo ali na ozemlje, s katerim je Unija sklenila preferencialni trgovinski sporazum. S tem je navedenim izvoznikom omogočeno, da sestavijo izjave o poreklu za izvoz izdelkov v te države ali ozemlja, in tako pridobijo koristi iz zadevnega preferencialnega trgovinskega sporazuma. V točki (c) navedenega člena pa je črtana Turčija, saj se za namene </w:t>
      </w:r>
      <w:proofErr w:type="spellStart"/>
      <w:r w:rsidR="00043A54" w:rsidRPr="00D20134">
        <w:rPr>
          <w:rFonts w:ascii="Arial" w:hAnsi="Arial" w:cs="Arial"/>
          <w:sz w:val="20"/>
          <w:szCs w:val="20"/>
        </w:rPr>
        <w:t>prepošiljanja</w:t>
      </w:r>
      <w:proofErr w:type="spellEnd"/>
      <w:r w:rsidR="00043A54" w:rsidRPr="00D20134">
        <w:rPr>
          <w:rFonts w:ascii="Arial" w:hAnsi="Arial" w:cs="Arial"/>
          <w:sz w:val="20"/>
          <w:szCs w:val="20"/>
        </w:rPr>
        <w:t xml:space="preserve"> izdelkov s poreklom v Turčijo nadomestna dokazil</w:t>
      </w:r>
      <w:r>
        <w:rPr>
          <w:rFonts w:ascii="Arial" w:hAnsi="Arial" w:cs="Arial"/>
          <w:sz w:val="20"/>
          <w:szCs w:val="20"/>
        </w:rPr>
        <w:t>a o poreklu v EU ne uporabljajo.</w:t>
      </w:r>
    </w:p>
    <w:p w14:paraId="53231612" w14:textId="41E71249" w:rsidR="00043A54" w:rsidRPr="00D20134" w:rsidRDefault="00B97640" w:rsidP="00043A54">
      <w:pPr>
        <w:pStyle w:val="Odstavekseznama"/>
        <w:numPr>
          <w:ilvl w:val="0"/>
          <w:numId w:val="8"/>
        </w:numPr>
        <w:autoSpaceDE w:val="0"/>
        <w:autoSpaceDN w:val="0"/>
        <w:adjustRightInd w:val="0"/>
        <w:spacing w:after="0" w:line="260" w:lineRule="exact"/>
        <w:ind w:left="284" w:hanging="284"/>
        <w:jc w:val="both"/>
        <w:rPr>
          <w:rFonts w:ascii="Arial" w:hAnsi="Arial" w:cs="Arial"/>
          <w:szCs w:val="20"/>
        </w:rPr>
      </w:pPr>
      <w:r>
        <w:rPr>
          <w:rFonts w:ascii="Arial" w:hAnsi="Arial" w:cs="Arial"/>
          <w:sz w:val="20"/>
          <w:szCs w:val="20"/>
        </w:rPr>
        <w:t>Č</w:t>
      </w:r>
      <w:r w:rsidR="00043A54" w:rsidRPr="00D20134">
        <w:rPr>
          <w:rFonts w:ascii="Arial" w:hAnsi="Arial" w:cs="Arial"/>
          <w:sz w:val="20"/>
          <w:szCs w:val="20"/>
        </w:rPr>
        <w:t>len 40</w:t>
      </w:r>
      <w:r w:rsidR="00674420">
        <w:rPr>
          <w:rFonts w:ascii="Arial" w:hAnsi="Arial" w:cs="Arial"/>
          <w:sz w:val="20"/>
          <w:szCs w:val="20"/>
        </w:rPr>
        <w:t xml:space="preserve"> DU</w:t>
      </w:r>
      <w:r w:rsidR="00043A54" w:rsidRPr="00D20134">
        <w:rPr>
          <w:rFonts w:ascii="Arial" w:hAnsi="Arial" w:cs="Arial"/>
          <w:sz w:val="20"/>
          <w:szCs w:val="20"/>
        </w:rPr>
        <w:t>, ki je nadomeščen z novim členom 40. Navedeni člen je določal možnost, da se ob predložitvi zahtevka za registracijo izvoznika uporabijo druga sredstva, ki niso tehnike elektronske obdelave podatkov. Z nadomeščenim členom je uporaba drugih sredstev, ki niso tehnike elektronske obdelave podatkov, razširjena na vse sporočanje in izmenjavo informacij v zvezi z zahtevki in odločbami o statusu registriranega izvoznika in na naknadne zahtevke in dejanja v zvezi z upravljanjem teh odločb</w:t>
      </w:r>
      <w:r>
        <w:rPr>
          <w:rFonts w:ascii="Arial" w:hAnsi="Arial" w:cs="Arial"/>
          <w:szCs w:val="20"/>
        </w:rPr>
        <w:t>.</w:t>
      </w:r>
    </w:p>
    <w:p w14:paraId="04128403" w14:textId="7AF8A916" w:rsidR="00043A54" w:rsidRPr="00D20134" w:rsidRDefault="00B97640" w:rsidP="00043A54">
      <w:pPr>
        <w:pStyle w:val="Odstavekseznama"/>
        <w:numPr>
          <w:ilvl w:val="0"/>
          <w:numId w:val="8"/>
        </w:numPr>
        <w:autoSpaceDE w:val="0"/>
        <w:autoSpaceDN w:val="0"/>
        <w:adjustRightInd w:val="0"/>
        <w:spacing w:after="0" w:line="260" w:lineRule="exact"/>
        <w:ind w:left="284" w:hanging="284"/>
        <w:jc w:val="both"/>
        <w:rPr>
          <w:rFonts w:ascii="Arial" w:hAnsi="Arial" w:cs="Arial"/>
          <w:sz w:val="20"/>
          <w:szCs w:val="20"/>
        </w:rPr>
      </w:pPr>
      <w:r>
        <w:rPr>
          <w:rFonts w:ascii="Arial" w:hAnsi="Arial" w:cs="Arial"/>
          <w:sz w:val="20"/>
          <w:szCs w:val="20"/>
        </w:rPr>
        <w:t>Č</w:t>
      </w:r>
      <w:r w:rsidR="00817E84">
        <w:rPr>
          <w:rFonts w:ascii="Arial" w:hAnsi="Arial" w:cs="Arial"/>
          <w:sz w:val="20"/>
          <w:szCs w:val="20"/>
        </w:rPr>
        <w:t xml:space="preserve">len 53(2) </w:t>
      </w:r>
      <w:r w:rsidR="00674420">
        <w:rPr>
          <w:rFonts w:ascii="Arial" w:hAnsi="Arial" w:cs="Arial"/>
          <w:sz w:val="20"/>
          <w:szCs w:val="20"/>
        </w:rPr>
        <w:t>DU</w:t>
      </w:r>
      <w:r w:rsidR="00817E84">
        <w:rPr>
          <w:rFonts w:ascii="Arial" w:hAnsi="Arial" w:cs="Arial"/>
          <w:sz w:val="20"/>
          <w:szCs w:val="20"/>
        </w:rPr>
        <w:t xml:space="preserve"> (bilateralna kumulacija) </w:t>
      </w:r>
      <w:r w:rsidR="00043A54" w:rsidRPr="00D20134">
        <w:rPr>
          <w:rFonts w:ascii="Arial" w:hAnsi="Arial" w:cs="Arial"/>
          <w:sz w:val="20"/>
          <w:szCs w:val="20"/>
        </w:rPr>
        <w:t>in člen 55</w:t>
      </w:r>
      <w:r w:rsidR="00817E84" w:rsidRPr="00D20134">
        <w:rPr>
          <w:rFonts w:ascii="Arial" w:hAnsi="Arial" w:cs="Arial"/>
          <w:sz w:val="20"/>
          <w:szCs w:val="20"/>
        </w:rPr>
        <w:t>(</w:t>
      </w:r>
      <w:r w:rsidR="00817E84">
        <w:rPr>
          <w:rFonts w:ascii="Arial" w:hAnsi="Arial" w:cs="Arial"/>
          <w:sz w:val="20"/>
          <w:szCs w:val="20"/>
        </w:rPr>
        <w:t xml:space="preserve">8) </w:t>
      </w:r>
      <w:r w:rsidR="00674420">
        <w:rPr>
          <w:rFonts w:ascii="Arial" w:hAnsi="Arial" w:cs="Arial"/>
          <w:sz w:val="20"/>
          <w:szCs w:val="20"/>
        </w:rPr>
        <w:t>DU</w:t>
      </w:r>
      <w:r w:rsidR="00674420" w:rsidRPr="00D20134">
        <w:rPr>
          <w:rFonts w:ascii="Arial" w:hAnsi="Arial" w:cs="Arial"/>
          <w:sz w:val="20"/>
          <w:szCs w:val="20"/>
        </w:rPr>
        <w:t xml:space="preserve"> </w:t>
      </w:r>
      <w:r w:rsidR="00817E84">
        <w:rPr>
          <w:rFonts w:ascii="Arial" w:hAnsi="Arial" w:cs="Arial"/>
          <w:sz w:val="20"/>
          <w:szCs w:val="20"/>
        </w:rPr>
        <w:t xml:space="preserve">(regionalna kumulacija). </w:t>
      </w:r>
      <w:r>
        <w:rPr>
          <w:rFonts w:ascii="Arial" w:hAnsi="Arial" w:cs="Arial"/>
          <w:sz w:val="20"/>
          <w:szCs w:val="20"/>
        </w:rPr>
        <w:t xml:space="preserve">Navedena </w:t>
      </w:r>
      <w:r w:rsidR="00043A54" w:rsidRPr="00D20134">
        <w:rPr>
          <w:rFonts w:ascii="Arial" w:hAnsi="Arial" w:cs="Arial"/>
          <w:sz w:val="20"/>
          <w:szCs w:val="20"/>
        </w:rPr>
        <w:t>odstavka sta nadomeščena z novim besedilom. Z nadomestitvijo navedenih odstavkov morajo carinski organi v državah članicah ter pristojni organi v državah upravičenkah, ki uporabljajo dvostranske in bilateralne kumulacije, za namene zagotovitve skladnosti s pravili o poreklu blaga poleg kontrole izdaje ali izdelave dokazil o poreklu opraviti tudi vsa potrebna preverjanja in kontrole porekla blaga (redni pregle</w:t>
      </w:r>
      <w:r>
        <w:rPr>
          <w:rFonts w:ascii="Arial" w:hAnsi="Arial" w:cs="Arial"/>
          <w:sz w:val="20"/>
          <w:szCs w:val="20"/>
        </w:rPr>
        <w:t>di izvoznikov na lastno pobudo).</w:t>
      </w:r>
      <w:r w:rsidR="00043A54" w:rsidRPr="00D20134">
        <w:rPr>
          <w:rFonts w:ascii="Arial" w:hAnsi="Arial" w:cs="Arial"/>
          <w:sz w:val="20"/>
          <w:szCs w:val="20"/>
        </w:rPr>
        <w:t xml:space="preserve"> </w:t>
      </w:r>
    </w:p>
    <w:p w14:paraId="555F27E7" w14:textId="0E51974D" w:rsidR="00043A54" w:rsidRPr="00D20134" w:rsidRDefault="00B97640" w:rsidP="00043A54">
      <w:pPr>
        <w:pStyle w:val="Odstavekseznama"/>
        <w:numPr>
          <w:ilvl w:val="0"/>
          <w:numId w:val="8"/>
        </w:numPr>
        <w:autoSpaceDE w:val="0"/>
        <w:autoSpaceDN w:val="0"/>
        <w:adjustRightInd w:val="0"/>
        <w:spacing w:after="0" w:line="260" w:lineRule="exact"/>
        <w:ind w:left="284" w:hanging="284"/>
        <w:jc w:val="both"/>
        <w:rPr>
          <w:rFonts w:ascii="Arial" w:hAnsi="Arial" w:cs="Arial"/>
          <w:sz w:val="20"/>
          <w:szCs w:val="20"/>
        </w:rPr>
      </w:pPr>
      <w:r>
        <w:rPr>
          <w:rFonts w:ascii="Arial" w:hAnsi="Arial" w:cs="Arial"/>
          <w:sz w:val="20"/>
          <w:szCs w:val="20"/>
        </w:rPr>
        <w:t>Z</w:t>
      </w:r>
      <w:r w:rsidR="00043A54" w:rsidRPr="00D20134">
        <w:rPr>
          <w:rFonts w:ascii="Arial" w:hAnsi="Arial" w:cs="Arial"/>
          <w:sz w:val="20"/>
          <w:szCs w:val="20"/>
        </w:rPr>
        <w:t xml:space="preserve">družitev drugega in tretjega pododstavka člena 55(4) </w:t>
      </w:r>
      <w:r w:rsidR="00674420">
        <w:rPr>
          <w:rFonts w:ascii="Arial" w:hAnsi="Arial" w:cs="Arial"/>
          <w:sz w:val="20"/>
          <w:szCs w:val="20"/>
        </w:rPr>
        <w:t>DU</w:t>
      </w:r>
      <w:r w:rsidR="00674420" w:rsidRPr="00D20134">
        <w:rPr>
          <w:rFonts w:ascii="Arial" w:hAnsi="Arial" w:cs="Arial"/>
          <w:sz w:val="20"/>
          <w:szCs w:val="20"/>
        </w:rPr>
        <w:t xml:space="preserve"> </w:t>
      </w:r>
      <w:r w:rsidR="00043A54" w:rsidRPr="00D20134">
        <w:rPr>
          <w:rFonts w:ascii="Arial" w:hAnsi="Arial" w:cs="Arial"/>
          <w:sz w:val="20"/>
          <w:szCs w:val="20"/>
        </w:rPr>
        <w:t>ter združitev drugega in tr</w:t>
      </w:r>
      <w:r w:rsidR="00674420">
        <w:rPr>
          <w:rFonts w:ascii="Arial" w:hAnsi="Arial" w:cs="Arial"/>
          <w:sz w:val="20"/>
          <w:szCs w:val="20"/>
        </w:rPr>
        <w:t xml:space="preserve">etjega pododstavka člena 55(6) DU. </w:t>
      </w:r>
      <w:r w:rsidR="00043A54" w:rsidRPr="00D20134">
        <w:rPr>
          <w:rFonts w:ascii="Arial" w:hAnsi="Arial" w:cs="Arial"/>
          <w:sz w:val="20"/>
          <w:szCs w:val="20"/>
        </w:rPr>
        <w:t>V združenih pododstavkih je pojasnjeno pravilo za določitev porekla v primeru regionalne kumulacije znotraj iste regionalne skupine ter regionalne kumulacije med državami upravičenkami skupine I in skupine III, ko obdelava ali predelava, opravljena v državah upravičenkah, presega minimalne postopke obdelave ali predelave, v primeru tekstilnih izdelkov pa tudi postopke iz Priloge 22-05</w:t>
      </w:r>
      <w:r>
        <w:rPr>
          <w:rFonts w:ascii="Arial" w:hAnsi="Arial" w:cs="Arial"/>
          <w:sz w:val="20"/>
          <w:szCs w:val="20"/>
        </w:rPr>
        <w:t>.</w:t>
      </w:r>
    </w:p>
    <w:p w14:paraId="3E8AA754" w14:textId="53AEB20C" w:rsidR="00043A54" w:rsidRDefault="00B97640" w:rsidP="00043A54">
      <w:pPr>
        <w:pStyle w:val="Odstavekseznama"/>
        <w:numPr>
          <w:ilvl w:val="0"/>
          <w:numId w:val="8"/>
        </w:numPr>
        <w:autoSpaceDE w:val="0"/>
        <w:autoSpaceDN w:val="0"/>
        <w:adjustRightInd w:val="0"/>
        <w:spacing w:after="0" w:line="260" w:lineRule="exact"/>
        <w:ind w:left="284" w:hanging="284"/>
        <w:jc w:val="both"/>
        <w:rPr>
          <w:rFonts w:ascii="Arial" w:hAnsi="Arial" w:cs="Arial"/>
          <w:sz w:val="20"/>
          <w:szCs w:val="20"/>
        </w:rPr>
      </w:pPr>
      <w:r>
        <w:rPr>
          <w:rFonts w:ascii="Arial" w:hAnsi="Arial" w:cs="Arial"/>
          <w:sz w:val="20"/>
          <w:szCs w:val="20"/>
        </w:rPr>
        <w:t>S</w:t>
      </w:r>
      <w:r w:rsidR="00043A54" w:rsidRPr="00D20134">
        <w:rPr>
          <w:rFonts w:ascii="Arial" w:hAnsi="Arial" w:cs="Arial"/>
          <w:sz w:val="20"/>
          <w:szCs w:val="20"/>
        </w:rPr>
        <w:t>prememb</w:t>
      </w:r>
      <w:r w:rsidR="00C672BF">
        <w:rPr>
          <w:rFonts w:ascii="Arial" w:hAnsi="Arial" w:cs="Arial"/>
          <w:sz w:val="20"/>
          <w:szCs w:val="20"/>
        </w:rPr>
        <w:t>a</w:t>
      </w:r>
      <w:r w:rsidR="00043A54" w:rsidRPr="00D20134">
        <w:rPr>
          <w:rFonts w:ascii="Arial" w:hAnsi="Arial" w:cs="Arial"/>
          <w:sz w:val="20"/>
          <w:szCs w:val="20"/>
        </w:rPr>
        <w:t xml:space="preserve"> priloge 22-01 </w:t>
      </w:r>
      <w:r w:rsidR="00061F4B">
        <w:rPr>
          <w:rFonts w:ascii="Arial" w:hAnsi="Arial" w:cs="Arial"/>
          <w:sz w:val="20"/>
          <w:szCs w:val="20"/>
        </w:rPr>
        <w:t xml:space="preserve">DU </w:t>
      </w:r>
      <w:r w:rsidR="00043A54" w:rsidRPr="00D20134">
        <w:rPr>
          <w:rFonts w:ascii="Arial" w:hAnsi="Arial" w:cs="Arial"/>
          <w:sz w:val="20"/>
          <w:szCs w:val="20"/>
        </w:rPr>
        <w:t xml:space="preserve">(uvodne opombe in seznam bistvenih predelav in obdelav, na podlagi katerih se dodeli nepreferencialno poreklo). V skladu s 60. členom </w:t>
      </w:r>
      <w:r w:rsidR="00405269">
        <w:rPr>
          <w:rFonts w:ascii="Arial" w:hAnsi="Arial" w:cs="Arial"/>
          <w:sz w:val="20"/>
          <w:szCs w:val="20"/>
        </w:rPr>
        <w:t>CZU</w:t>
      </w:r>
      <w:r w:rsidR="00391DA7">
        <w:rPr>
          <w:rFonts w:ascii="Arial" w:hAnsi="Arial" w:cs="Arial"/>
          <w:sz w:val="20"/>
          <w:szCs w:val="20"/>
        </w:rPr>
        <w:t xml:space="preserve"> </w:t>
      </w:r>
      <w:r w:rsidR="00043A54" w:rsidRPr="00D20134">
        <w:rPr>
          <w:rFonts w:ascii="Arial" w:hAnsi="Arial" w:cs="Arial"/>
          <w:sz w:val="20"/>
          <w:szCs w:val="20"/>
        </w:rPr>
        <w:t>se šteje, da ima blago nepreferencialno poreklo tiste države, v kateri je bilo v celoti pridobljeno. Če pa proizvodnja blaga vključuje več kot eno državo, se šteje, da ima blago nepreferencialno poreklo države, v kateri je bila v zato opremljenem podjetju opravljena njegova zadnja bistvena, gospodarsko upravičena predelava ali obdelava, katere izid je izdelava novega proizvoda ali ki predstavlja pomembno stopnjo proizvodnje. Šteje se, da je ta pogoj izpolnjen v državi, v kateri se izpo</w:t>
      </w:r>
      <w:r w:rsidR="00061F4B">
        <w:rPr>
          <w:rFonts w:ascii="Arial" w:hAnsi="Arial" w:cs="Arial"/>
          <w:sz w:val="20"/>
          <w:szCs w:val="20"/>
        </w:rPr>
        <w:t xml:space="preserve">lnijo pravila iz priloge 22-01 DU. </w:t>
      </w:r>
      <w:r w:rsidR="00043A54" w:rsidRPr="00D20134">
        <w:rPr>
          <w:rFonts w:ascii="Arial" w:hAnsi="Arial" w:cs="Arial"/>
          <w:sz w:val="20"/>
          <w:szCs w:val="20"/>
        </w:rPr>
        <w:t xml:space="preserve">Zaradi zagotovila, da se pravila o poreklu ustrezno uporabljajo, je seznam posodobljen z zadnjo različico nomenklature blaga, določene na podlagi Mednarodne konvencije o </w:t>
      </w:r>
      <w:proofErr w:type="spellStart"/>
      <w:r w:rsidR="00043A54" w:rsidRPr="00D20134">
        <w:rPr>
          <w:rFonts w:ascii="Arial" w:hAnsi="Arial" w:cs="Arial"/>
          <w:sz w:val="20"/>
          <w:szCs w:val="20"/>
        </w:rPr>
        <w:t>harmoniziranem</w:t>
      </w:r>
      <w:proofErr w:type="spellEnd"/>
      <w:r w:rsidR="00043A54" w:rsidRPr="00D20134">
        <w:rPr>
          <w:rFonts w:ascii="Arial" w:hAnsi="Arial" w:cs="Arial"/>
          <w:sz w:val="20"/>
          <w:szCs w:val="20"/>
        </w:rPr>
        <w:t xml:space="preserve"> sistemu poimenovanj in </w:t>
      </w:r>
      <w:proofErr w:type="spellStart"/>
      <w:r w:rsidR="00043A54" w:rsidRPr="00D20134">
        <w:rPr>
          <w:rFonts w:ascii="Arial" w:hAnsi="Arial" w:cs="Arial"/>
          <w:sz w:val="20"/>
          <w:szCs w:val="20"/>
        </w:rPr>
        <w:t>šifrskih</w:t>
      </w:r>
      <w:proofErr w:type="spellEnd"/>
      <w:r w:rsidR="00043A54" w:rsidRPr="00D20134">
        <w:rPr>
          <w:rFonts w:ascii="Arial" w:hAnsi="Arial" w:cs="Arial"/>
          <w:sz w:val="20"/>
          <w:szCs w:val="20"/>
        </w:rPr>
        <w:t xml:space="preserve"> oznak blaga (HS za leto 2017). V prilogi 22-01 niso navedene vse oznake HS. Da se zagotovi enotna razlaga načela zadnje bistvene predelave ali obdelave, so v prilogo dodani izdelki iz 11. poglavja HS (proizvodi mlinske industrije; slad; škrob; </w:t>
      </w:r>
      <w:proofErr w:type="spellStart"/>
      <w:r w:rsidR="00043A54" w:rsidRPr="00D20134">
        <w:rPr>
          <w:rFonts w:ascii="Arial" w:hAnsi="Arial" w:cs="Arial"/>
          <w:sz w:val="20"/>
          <w:szCs w:val="20"/>
        </w:rPr>
        <w:t>inulin</w:t>
      </w:r>
      <w:proofErr w:type="spellEnd"/>
      <w:r w:rsidR="00043A54" w:rsidRPr="00D20134">
        <w:rPr>
          <w:rFonts w:ascii="Arial" w:hAnsi="Arial" w:cs="Arial"/>
          <w:sz w:val="20"/>
          <w:szCs w:val="20"/>
        </w:rPr>
        <w:t xml:space="preserve">; pšenični gluten), dodano je pravilo za pametne kartice z vgrajenim vezjem s tuljavo (ex 8523 59), polprevodniške komponente za prikazovanje slik (ex 8525 80) in module za pametne povezave s komunikacijskim regulatorjem in varnim bralnikom pametnih kartic (ex 8548 90). </w:t>
      </w:r>
      <w:r w:rsidR="00043A54" w:rsidRPr="00D20134">
        <w:rPr>
          <w:rFonts w:ascii="Arial" w:hAnsi="Arial" w:cs="Arial"/>
          <w:sz w:val="20"/>
          <w:szCs w:val="20"/>
        </w:rPr>
        <w:lastRenderedPageBreak/>
        <w:t xml:space="preserve">Iz priloge 22-01 je črtana vrstica, ki se nanaša na oznako HS za leto 2012 ex 8537 10. Za 90. poglavje sta v tabeli oznaki HS 9026 in ex 9031 nadomeščeni z ex 9029.  </w:t>
      </w:r>
    </w:p>
    <w:p w14:paraId="11A613FA" w14:textId="77777777" w:rsidR="00F771EE" w:rsidRPr="00D20134" w:rsidRDefault="00F771EE" w:rsidP="00F771EE">
      <w:pPr>
        <w:pStyle w:val="Odstavekseznama"/>
        <w:autoSpaceDE w:val="0"/>
        <w:autoSpaceDN w:val="0"/>
        <w:adjustRightInd w:val="0"/>
        <w:spacing w:after="0" w:line="260" w:lineRule="exact"/>
        <w:ind w:left="284"/>
        <w:jc w:val="both"/>
        <w:rPr>
          <w:rFonts w:ascii="Arial" w:hAnsi="Arial" w:cs="Arial"/>
          <w:sz w:val="20"/>
          <w:szCs w:val="20"/>
        </w:rPr>
      </w:pPr>
    </w:p>
    <w:p w14:paraId="4A5CCC86" w14:textId="77777777" w:rsidR="00DD79E5" w:rsidRPr="00BA6227" w:rsidRDefault="00BA6227" w:rsidP="00DD79E5">
      <w:pPr>
        <w:jc w:val="both"/>
        <w:rPr>
          <w:rFonts w:cs="Arial"/>
          <w:color w:val="000000"/>
          <w:szCs w:val="20"/>
          <w:u w:val="single"/>
        </w:rPr>
      </w:pPr>
      <w:r w:rsidRPr="00BA6227">
        <w:rPr>
          <w:u w:val="single"/>
        </w:rPr>
        <w:t>Aktivno oplemenitenje</w:t>
      </w:r>
    </w:p>
    <w:p w14:paraId="651F15C2" w14:textId="7F77633A" w:rsidR="00DD79E5" w:rsidRDefault="00391DA7" w:rsidP="00DD79E5">
      <w:pPr>
        <w:jc w:val="both"/>
        <w:rPr>
          <w:rFonts w:cs="Arial"/>
          <w:color w:val="000000"/>
          <w:szCs w:val="20"/>
        </w:rPr>
      </w:pPr>
      <w:r>
        <w:rPr>
          <w:rFonts w:cs="Arial"/>
          <w:color w:val="000000"/>
          <w:szCs w:val="20"/>
        </w:rPr>
        <w:t xml:space="preserve">Pri spremembi določbe člena </w:t>
      </w:r>
      <w:r w:rsidR="00BA6227">
        <w:rPr>
          <w:rFonts w:cs="Arial"/>
          <w:color w:val="000000"/>
          <w:szCs w:val="20"/>
        </w:rPr>
        <w:t xml:space="preserve">76(b) </w:t>
      </w:r>
      <w:r w:rsidR="00B97640">
        <w:rPr>
          <w:rFonts w:cs="Arial"/>
          <w:color w:val="000000"/>
          <w:szCs w:val="20"/>
        </w:rPr>
        <w:t xml:space="preserve">DU </w:t>
      </w:r>
      <w:r w:rsidR="00BA6227">
        <w:rPr>
          <w:rFonts w:cs="Arial"/>
          <w:color w:val="000000"/>
          <w:szCs w:val="20"/>
        </w:rPr>
        <w:t xml:space="preserve">gre </w:t>
      </w:r>
      <w:r w:rsidR="00DD79E5" w:rsidRPr="00CA002A">
        <w:rPr>
          <w:rFonts w:cs="Arial"/>
          <w:color w:val="000000"/>
          <w:szCs w:val="20"/>
        </w:rPr>
        <w:t xml:space="preserve">za </w:t>
      </w:r>
      <w:r w:rsidR="00BA6227">
        <w:rPr>
          <w:rFonts w:cs="Arial"/>
          <w:color w:val="000000"/>
          <w:szCs w:val="20"/>
        </w:rPr>
        <w:t xml:space="preserve">redakcijski </w:t>
      </w:r>
      <w:r w:rsidR="00DD79E5" w:rsidRPr="00CA002A">
        <w:rPr>
          <w:rFonts w:cs="Arial"/>
          <w:color w:val="000000"/>
          <w:szCs w:val="20"/>
        </w:rPr>
        <w:t>popravek besedila</w:t>
      </w:r>
      <w:r w:rsidR="00674420">
        <w:rPr>
          <w:rFonts w:cs="Arial"/>
          <w:color w:val="000000"/>
          <w:szCs w:val="20"/>
        </w:rPr>
        <w:t xml:space="preserve"> o odstopanju od izračuna zneska uvozne dajatve za oplemenitene proizvode</w:t>
      </w:r>
      <w:r w:rsidR="00DD79E5" w:rsidRPr="00CA002A">
        <w:rPr>
          <w:rFonts w:cs="Arial"/>
          <w:color w:val="000000"/>
          <w:szCs w:val="20"/>
        </w:rPr>
        <w:t xml:space="preserve">, da se zagotovi skladnost z izrazi, ki se uporabljajo </w:t>
      </w:r>
      <w:r w:rsidR="00674420">
        <w:rPr>
          <w:rFonts w:cs="Arial"/>
          <w:color w:val="000000"/>
          <w:szCs w:val="20"/>
        </w:rPr>
        <w:t xml:space="preserve">v nadaljevanju </w:t>
      </w:r>
      <w:r w:rsidR="00DD79E5" w:rsidRPr="00CA002A">
        <w:rPr>
          <w:rFonts w:cs="Arial"/>
          <w:color w:val="000000"/>
          <w:szCs w:val="20"/>
        </w:rPr>
        <w:t>v členih 166, 167 in 168 DU.</w:t>
      </w:r>
    </w:p>
    <w:p w14:paraId="2B591A84" w14:textId="77777777" w:rsidR="00F771EE" w:rsidRPr="00CA002A" w:rsidRDefault="00F771EE" w:rsidP="00DD79E5">
      <w:pPr>
        <w:jc w:val="both"/>
        <w:rPr>
          <w:rFonts w:cs="Arial"/>
          <w:color w:val="000000"/>
          <w:szCs w:val="20"/>
        </w:rPr>
      </w:pPr>
    </w:p>
    <w:p w14:paraId="35750BE6" w14:textId="77777777" w:rsidR="00020EB0" w:rsidRDefault="00020EB0" w:rsidP="00020EB0">
      <w:pPr>
        <w:jc w:val="both"/>
        <w:rPr>
          <w:u w:val="single"/>
        </w:rPr>
      </w:pPr>
      <w:r w:rsidRPr="00020EB0">
        <w:rPr>
          <w:u w:val="single"/>
        </w:rPr>
        <w:t xml:space="preserve">Zavarovanje carinskega dolga </w:t>
      </w:r>
    </w:p>
    <w:p w14:paraId="665656B0" w14:textId="45277FA5" w:rsidR="00AC0730" w:rsidRDefault="00020EB0" w:rsidP="006F5548">
      <w:pPr>
        <w:jc w:val="both"/>
      </w:pPr>
      <w:r>
        <w:t xml:space="preserve">Zaradi jasnosti se </w:t>
      </w:r>
      <w:r w:rsidR="00A55904">
        <w:t xml:space="preserve">v </w:t>
      </w:r>
      <w:r>
        <w:t>člen</w:t>
      </w:r>
      <w:r w:rsidR="00A55904">
        <w:t>u</w:t>
      </w:r>
      <w:r>
        <w:t xml:space="preserve"> 82 </w:t>
      </w:r>
      <w:r w:rsidR="00FD2876">
        <w:t xml:space="preserve">DU </w:t>
      </w:r>
      <w:r w:rsidR="00A55904">
        <w:t xml:space="preserve">doda nov peti odstavek, ki vsebuje </w:t>
      </w:r>
      <w:r>
        <w:t>sklicevanje na priloge 31-01, 32-02 oziroma 32-03</w:t>
      </w:r>
      <w:r w:rsidR="00674420">
        <w:t xml:space="preserve"> DU</w:t>
      </w:r>
      <w:r>
        <w:t xml:space="preserve">, v katerih so določene zadevne skupne podatkovne zahteve za izjavo poroka. </w:t>
      </w:r>
      <w:r w:rsidR="0030496C">
        <w:t xml:space="preserve">Za zagotovitev skladnosti z določbami </w:t>
      </w:r>
      <w:r w:rsidR="00061F4B">
        <w:t xml:space="preserve">glede zavarovanj, </w:t>
      </w:r>
      <w:r w:rsidR="0030496C">
        <w:t xml:space="preserve">se sklicevanje </w:t>
      </w:r>
      <w:r w:rsidR="00FD2876">
        <w:t xml:space="preserve">na države članice </w:t>
      </w:r>
      <w:r w:rsidR="0030496C">
        <w:t xml:space="preserve">v </w:t>
      </w:r>
      <w:r w:rsidR="00A55904">
        <w:t xml:space="preserve">spremenjenem tretjem odstavku </w:t>
      </w:r>
      <w:r w:rsidR="0030496C">
        <w:t>člen</w:t>
      </w:r>
      <w:r w:rsidR="00A55904">
        <w:t>a</w:t>
      </w:r>
      <w:r w:rsidR="0030496C">
        <w:t xml:space="preserve"> 83 </w:t>
      </w:r>
      <w:r w:rsidR="00FD2876">
        <w:t>DU</w:t>
      </w:r>
      <w:r w:rsidR="00B97640">
        <w:t>,</w:t>
      </w:r>
      <w:r w:rsidR="00FD2876">
        <w:t xml:space="preserve"> </w:t>
      </w:r>
      <w:r w:rsidR="0030496C">
        <w:t xml:space="preserve">nadomesti s sklicevanjem na carinske organe. </w:t>
      </w:r>
    </w:p>
    <w:p w14:paraId="145AF261" w14:textId="77777777" w:rsidR="00F771EE" w:rsidRDefault="00F771EE" w:rsidP="006F5548">
      <w:pPr>
        <w:jc w:val="both"/>
      </w:pPr>
    </w:p>
    <w:p w14:paraId="0C69FBFE" w14:textId="77777777" w:rsidR="00DC5EF9" w:rsidRDefault="006F5548" w:rsidP="006F5548">
      <w:pPr>
        <w:jc w:val="both"/>
        <w:rPr>
          <w:u w:val="single"/>
        </w:rPr>
      </w:pPr>
      <w:r w:rsidRPr="006F5548">
        <w:rPr>
          <w:u w:val="single"/>
        </w:rPr>
        <w:t xml:space="preserve">Podaljšanje roka  za sprejetje odločbe o povračilu ali odpustu </w:t>
      </w:r>
    </w:p>
    <w:p w14:paraId="58F5069B" w14:textId="15E4AA7F" w:rsidR="00824156" w:rsidRDefault="002506EC" w:rsidP="006F5548">
      <w:pPr>
        <w:jc w:val="both"/>
      </w:pPr>
      <w:r>
        <w:t xml:space="preserve">Člen 97 DU, ki opredeljuje podaljšanje roka za sprejetje odločbe o povračilu ali odpustu, se nadomesti z novim členom, ki v tretjem odstavku </w:t>
      </w:r>
      <w:r w:rsidR="009F075E">
        <w:t xml:space="preserve">uvaja </w:t>
      </w:r>
      <w:r w:rsidR="00D96278">
        <w:t xml:space="preserve">možnost </w:t>
      </w:r>
      <w:r w:rsidR="009F075E">
        <w:t>podaljšanj</w:t>
      </w:r>
      <w:r w:rsidR="00D96278">
        <w:t>a</w:t>
      </w:r>
      <w:r w:rsidR="009F075E">
        <w:t xml:space="preserve"> roka za spr</w:t>
      </w:r>
      <w:r w:rsidR="00824156">
        <w:t>ejetje odločb</w:t>
      </w:r>
      <w:r w:rsidR="00D96278">
        <w:t>e s soglasjem vložnika</w:t>
      </w:r>
      <w:r w:rsidR="003F34F8">
        <w:t xml:space="preserve">, </w:t>
      </w:r>
      <w:r w:rsidR="00D96278">
        <w:t>in sicer v situacijah, ko</w:t>
      </w:r>
      <w:r w:rsidR="003F34F8">
        <w:t xml:space="preserve"> je </w:t>
      </w:r>
      <w:r w:rsidR="00E33F5B">
        <w:t>odločitev</w:t>
      </w:r>
      <w:r w:rsidR="00824156">
        <w:t xml:space="preserve"> odvisna od izida zadeve, ki vključuje enaka ali primerljiva dejanska in pravna vprašanja in ki poteka pred sodiščem Evropske unije v skladu s členom 267 Pogodbe o delovanju Evropske unije ali od določenega upravnega postopka v teku, ki bi lah</w:t>
      </w:r>
      <w:r w:rsidR="00E33F5B">
        <w:t xml:space="preserve">ko vplival na navedeno odločbo. Čas </w:t>
      </w:r>
      <w:r w:rsidR="00BE1322">
        <w:t>podaljšanja</w:t>
      </w:r>
      <w:r w:rsidR="00E33F5B">
        <w:t xml:space="preserve"> </w:t>
      </w:r>
      <w:r w:rsidR="00817E84">
        <w:t xml:space="preserve">je določen </w:t>
      </w:r>
      <w:r w:rsidR="00E33F5B">
        <w:t>za posamezne specifične</w:t>
      </w:r>
      <w:r w:rsidR="00D96278">
        <w:t xml:space="preserve"> situacije:</w:t>
      </w:r>
    </w:p>
    <w:p w14:paraId="4B0B3F26" w14:textId="77777777" w:rsidR="00D96278" w:rsidRDefault="00D96278" w:rsidP="00D96278">
      <w:pPr>
        <w:pStyle w:val="Odstavekseznama"/>
        <w:numPr>
          <w:ilvl w:val="0"/>
          <w:numId w:val="7"/>
        </w:numPr>
        <w:jc w:val="both"/>
        <w:rPr>
          <w:rFonts w:ascii="Arial" w:hAnsi="Arial" w:cs="Arial"/>
          <w:sz w:val="20"/>
          <w:szCs w:val="20"/>
        </w:rPr>
      </w:pPr>
      <w:r>
        <w:rPr>
          <w:rFonts w:ascii="Arial" w:hAnsi="Arial" w:cs="Arial"/>
          <w:sz w:val="20"/>
          <w:szCs w:val="20"/>
        </w:rPr>
        <w:t>č</w:t>
      </w:r>
      <w:r w:rsidRPr="00D96278">
        <w:rPr>
          <w:rFonts w:ascii="Arial" w:hAnsi="Arial" w:cs="Arial"/>
          <w:sz w:val="20"/>
          <w:szCs w:val="20"/>
        </w:rPr>
        <w:t>e so v zadevi, ki poteka pred Sodiščem Evropske unije v skladu s členom 267 Pogodbe o delovanju Evropske unije enaka ali primerljiva dejanska in pravna vprašanja, se rok za sprejetje odločbe lahko podaljša za obdobje</w:t>
      </w:r>
      <w:r w:rsidR="00295DAA">
        <w:rPr>
          <w:rFonts w:ascii="Arial" w:hAnsi="Arial" w:cs="Arial"/>
          <w:sz w:val="20"/>
          <w:szCs w:val="20"/>
        </w:rPr>
        <w:t>, ki se konč</w:t>
      </w:r>
      <w:r w:rsidRPr="00D96278">
        <w:rPr>
          <w:rFonts w:ascii="Arial" w:hAnsi="Arial" w:cs="Arial"/>
          <w:sz w:val="20"/>
          <w:szCs w:val="20"/>
        </w:rPr>
        <w:t>a najpozneje 30 dni po datumu razglasitve sodbe Sodišča</w:t>
      </w:r>
      <w:r>
        <w:rPr>
          <w:rFonts w:ascii="Arial" w:hAnsi="Arial" w:cs="Arial"/>
          <w:sz w:val="20"/>
          <w:szCs w:val="20"/>
        </w:rPr>
        <w:t>;</w:t>
      </w:r>
    </w:p>
    <w:p w14:paraId="098282A7" w14:textId="77777777" w:rsidR="00D96278" w:rsidRDefault="00BC4427" w:rsidP="00D96278">
      <w:pPr>
        <w:pStyle w:val="Odstavekseznama"/>
        <w:numPr>
          <w:ilvl w:val="0"/>
          <w:numId w:val="7"/>
        </w:numPr>
        <w:jc w:val="both"/>
        <w:rPr>
          <w:rFonts w:ascii="Arial" w:hAnsi="Arial" w:cs="Arial"/>
          <w:sz w:val="20"/>
          <w:szCs w:val="20"/>
        </w:rPr>
      </w:pPr>
      <w:r>
        <w:rPr>
          <w:rFonts w:ascii="Arial" w:hAnsi="Arial" w:cs="Arial"/>
          <w:sz w:val="20"/>
          <w:szCs w:val="20"/>
        </w:rPr>
        <w:t>če je odločba o povračilu ali odpustu odvisna od izida zahtevka za naknadno preverjanje dokazila o preferencialnem poreklu, sestavljenem v skladu s členi 109, 110 ali 125 IU ali v skladu z zadevnim preferencialnim sporazumom, se rok za sprejetje odločbe lahko podaljša za čas trajanja preverjanja, kot je določeno v členih 109, 110 ali 125 IU, ali z zadevnim preferencialnim sporazumom, v nobenem primeru pa ne več kot 15 mesecev od dneva, ko je bil poslan zahtevek;</w:t>
      </w:r>
    </w:p>
    <w:p w14:paraId="6EDAFF15" w14:textId="036A625C" w:rsidR="00D1710C" w:rsidRDefault="00BC4427" w:rsidP="00D96278">
      <w:pPr>
        <w:pStyle w:val="Odstavekseznama"/>
        <w:numPr>
          <w:ilvl w:val="0"/>
          <w:numId w:val="7"/>
        </w:numPr>
        <w:jc w:val="both"/>
        <w:rPr>
          <w:rFonts w:ascii="Arial" w:hAnsi="Arial" w:cs="Arial"/>
          <w:sz w:val="20"/>
          <w:szCs w:val="20"/>
        </w:rPr>
      </w:pPr>
      <w:r>
        <w:rPr>
          <w:rFonts w:ascii="Arial" w:hAnsi="Arial" w:cs="Arial"/>
          <w:sz w:val="20"/>
          <w:szCs w:val="20"/>
        </w:rPr>
        <w:t xml:space="preserve">če je </w:t>
      </w:r>
      <w:r w:rsidR="00817E84">
        <w:rPr>
          <w:rFonts w:ascii="Arial" w:hAnsi="Arial" w:cs="Arial"/>
          <w:sz w:val="20"/>
          <w:szCs w:val="20"/>
        </w:rPr>
        <w:t xml:space="preserve">odločba </w:t>
      </w:r>
      <w:r>
        <w:rPr>
          <w:rFonts w:ascii="Arial" w:hAnsi="Arial" w:cs="Arial"/>
          <w:sz w:val="20"/>
          <w:szCs w:val="20"/>
        </w:rPr>
        <w:t xml:space="preserve"> o povračilu ali odpustu odvisna od izida postopka posvetovanja v skladu s členom 23(2) IU, katerega namen je, da se na ravni Unije zagotovi pravilna in enotna tarifna uvrstitev ali opredelitev porekla </w:t>
      </w:r>
      <w:r w:rsidR="00D1710C">
        <w:rPr>
          <w:rFonts w:ascii="Arial" w:hAnsi="Arial" w:cs="Arial"/>
          <w:sz w:val="20"/>
          <w:szCs w:val="20"/>
        </w:rPr>
        <w:t xml:space="preserve">zadevnega </w:t>
      </w:r>
      <w:r>
        <w:rPr>
          <w:rFonts w:ascii="Arial" w:hAnsi="Arial" w:cs="Arial"/>
          <w:sz w:val="20"/>
          <w:szCs w:val="20"/>
        </w:rPr>
        <w:t>blaga</w:t>
      </w:r>
      <w:r w:rsidR="00D1710C">
        <w:rPr>
          <w:rFonts w:ascii="Arial" w:hAnsi="Arial" w:cs="Arial"/>
          <w:sz w:val="20"/>
          <w:szCs w:val="20"/>
        </w:rPr>
        <w:t xml:space="preserve">, se rok za sprejetje odločbe lahko podaljša za obdobje, ki se konča najpozneje 30 dni po uradnem obvestilu Komisije o umiku zadržanja sprejemanja odločbe ZTI in ZIPB v skladu s členom 23(3) IU. </w:t>
      </w:r>
    </w:p>
    <w:p w14:paraId="6278AE3B" w14:textId="7F743D78" w:rsidR="00D96278" w:rsidRDefault="009F075E" w:rsidP="006F5548">
      <w:pPr>
        <w:jc w:val="both"/>
      </w:pPr>
      <w:r>
        <w:t>Prvi in drugi odstavek člena 97 DU, ki se na</w:t>
      </w:r>
      <w:r w:rsidR="004A6BC0">
        <w:t xml:space="preserve">našata na </w:t>
      </w:r>
      <w:r>
        <w:t>zadržanje roka za sprejetje odločbe</w:t>
      </w:r>
      <w:r w:rsidR="00024A53">
        <w:t xml:space="preserve"> </w:t>
      </w:r>
      <w:r w:rsidR="004A6BC0">
        <w:t>v</w:t>
      </w:r>
      <w:r w:rsidR="00061F4B">
        <w:t xml:space="preserve"> primerih</w:t>
      </w:r>
      <w:r w:rsidR="00024A53">
        <w:t xml:space="preserve"> iz člena 116(3) </w:t>
      </w:r>
      <w:r w:rsidR="00405269">
        <w:t>CZU</w:t>
      </w:r>
      <w:r w:rsidR="00024A53">
        <w:t>, ko</w:t>
      </w:r>
      <w:r w:rsidR="004A6BC0">
        <w:t xml:space="preserve"> država članica predloži</w:t>
      </w:r>
      <w:r w:rsidR="00D96278">
        <w:t xml:space="preserve"> zadevo v odločitev Komisiji, ostajata vsebinsko nespremenjena. </w:t>
      </w:r>
    </w:p>
    <w:p w14:paraId="00111E1A" w14:textId="77777777" w:rsidR="00F771EE" w:rsidRDefault="00F771EE" w:rsidP="006F5548">
      <w:pPr>
        <w:jc w:val="both"/>
      </w:pPr>
    </w:p>
    <w:p w14:paraId="6AA18668" w14:textId="77777777" w:rsidR="00DD79E5" w:rsidRPr="00BA6227" w:rsidRDefault="00BA6227" w:rsidP="00DD79E5">
      <w:pPr>
        <w:jc w:val="both"/>
        <w:rPr>
          <w:rFonts w:cs="Arial"/>
          <w:color w:val="000000"/>
          <w:szCs w:val="20"/>
          <w:u w:val="single"/>
        </w:rPr>
      </w:pPr>
      <w:r w:rsidRPr="00BA6227">
        <w:rPr>
          <w:rFonts w:cs="Arial"/>
          <w:color w:val="000000"/>
          <w:szCs w:val="20"/>
          <w:u w:val="single"/>
        </w:rPr>
        <w:t>Ustna deklaracija za začasni uvoz in ponovni izvoz</w:t>
      </w:r>
    </w:p>
    <w:p w14:paraId="51AE3E37" w14:textId="1702CA69" w:rsidR="00DD79E5" w:rsidRDefault="00DD79E5" w:rsidP="00DD79E5">
      <w:pPr>
        <w:jc w:val="both"/>
        <w:rPr>
          <w:rFonts w:cs="Arial"/>
          <w:color w:val="000000"/>
          <w:szCs w:val="20"/>
        </w:rPr>
      </w:pPr>
      <w:r>
        <w:rPr>
          <w:rFonts w:cs="Arial"/>
          <w:color w:val="000000"/>
          <w:szCs w:val="20"/>
        </w:rPr>
        <w:t xml:space="preserve">V členu </w:t>
      </w:r>
      <w:r w:rsidR="00BA6227">
        <w:rPr>
          <w:rFonts w:cs="Arial"/>
          <w:color w:val="000000"/>
          <w:szCs w:val="20"/>
        </w:rPr>
        <w:t>136(1)</w:t>
      </w:r>
      <w:r w:rsidR="008C6B46">
        <w:rPr>
          <w:rFonts w:cs="Arial"/>
          <w:color w:val="000000"/>
          <w:szCs w:val="20"/>
        </w:rPr>
        <w:t xml:space="preserve"> DU</w:t>
      </w:r>
      <w:r w:rsidR="00BA6227">
        <w:rPr>
          <w:rFonts w:cs="Arial"/>
          <w:color w:val="000000"/>
          <w:szCs w:val="20"/>
        </w:rPr>
        <w:t xml:space="preserve"> j</w:t>
      </w:r>
      <w:r>
        <w:rPr>
          <w:rFonts w:cs="Arial"/>
          <w:color w:val="000000"/>
          <w:szCs w:val="20"/>
        </w:rPr>
        <w:t>e narejen popravek pri sklicevanju na člen</w:t>
      </w:r>
      <w:r w:rsidR="00BA6227">
        <w:rPr>
          <w:rFonts w:cs="Arial"/>
          <w:color w:val="000000"/>
          <w:szCs w:val="20"/>
        </w:rPr>
        <w:t xml:space="preserve">e DU, in sicer se sklicevanje na </w:t>
      </w:r>
      <w:r>
        <w:rPr>
          <w:rFonts w:cs="Arial"/>
          <w:color w:val="000000"/>
          <w:szCs w:val="20"/>
        </w:rPr>
        <w:t xml:space="preserve">»208 do 213« spremeni na </w:t>
      </w:r>
      <w:r w:rsidR="00817E84">
        <w:rPr>
          <w:rFonts w:cs="Arial"/>
          <w:color w:val="000000"/>
          <w:szCs w:val="20"/>
        </w:rPr>
        <w:t xml:space="preserve">sklicevanje »208 do 216«, </w:t>
      </w:r>
      <w:r>
        <w:rPr>
          <w:rFonts w:cs="Arial"/>
          <w:color w:val="000000"/>
          <w:szCs w:val="20"/>
        </w:rPr>
        <w:t>s č</w:t>
      </w:r>
      <w:r w:rsidR="00BA6227">
        <w:rPr>
          <w:rFonts w:cs="Arial"/>
          <w:color w:val="000000"/>
          <w:szCs w:val="20"/>
        </w:rPr>
        <w:t xml:space="preserve">imer </w:t>
      </w:r>
      <w:r>
        <w:rPr>
          <w:rFonts w:cs="Arial"/>
          <w:color w:val="000000"/>
          <w:szCs w:val="20"/>
        </w:rPr>
        <w:t>je omogočena uporaba ustne deklaracije za začasni uvoz prevoznih sredstev v primerih iz 214 do 216 člena DU.</w:t>
      </w:r>
      <w:r w:rsidRPr="00CA002A">
        <w:rPr>
          <w:rFonts w:cs="Arial"/>
          <w:color w:val="000000"/>
          <w:szCs w:val="20"/>
        </w:rPr>
        <w:t xml:space="preserve"> </w:t>
      </w:r>
    </w:p>
    <w:p w14:paraId="2495962E" w14:textId="77777777" w:rsidR="00BA6227" w:rsidRDefault="00BA6227" w:rsidP="00DD79E5">
      <w:pPr>
        <w:jc w:val="both"/>
        <w:rPr>
          <w:rFonts w:cs="Arial"/>
          <w:color w:val="000000"/>
          <w:szCs w:val="20"/>
        </w:rPr>
      </w:pPr>
    </w:p>
    <w:p w14:paraId="19AF2028" w14:textId="77777777" w:rsidR="00FB47CC" w:rsidRPr="00FB47CC" w:rsidRDefault="00FB47CC" w:rsidP="00FB47CC">
      <w:pPr>
        <w:jc w:val="both"/>
        <w:rPr>
          <w:u w:val="single"/>
        </w:rPr>
      </w:pPr>
      <w:r w:rsidRPr="00FB47CC">
        <w:rPr>
          <w:u w:val="single"/>
        </w:rPr>
        <w:t>Trgovina z ozemlji s posebno davčno ureditvijo</w:t>
      </w:r>
    </w:p>
    <w:p w14:paraId="2F43A7E2" w14:textId="0B4C7633" w:rsidR="00FB47CC" w:rsidRDefault="00FB47CC" w:rsidP="00FB47CC">
      <w:pPr>
        <w:jc w:val="both"/>
      </w:pPr>
      <w:r>
        <w:t>Spremenjeni č</w:t>
      </w:r>
      <w:r w:rsidRPr="002C034C">
        <w:t xml:space="preserve">len 114 DU je </w:t>
      </w:r>
      <w:r>
        <w:t xml:space="preserve">razdeljen </w:t>
      </w:r>
      <w:r w:rsidR="00BC2CC6">
        <w:t>na</w:t>
      </w:r>
      <w:r>
        <w:t xml:space="preserve"> </w:t>
      </w:r>
      <w:r w:rsidR="00BC2CC6">
        <w:t xml:space="preserve">štiri </w:t>
      </w:r>
      <w:r>
        <w:t>odstavke. Sprememba je bila narejena z namenom poenostavitve carinskih formalnosti in kontrol v primeru trgovine z ozemlji s posebno davčno ureditvijo. V prvem odstavku je povzeta vsebina dosedanjega člena z dopolnitvijo, da se na tem področju uporabljajo tudi členi 115 do 118 te uredbe.</w:t>
      </w:r>
      <w:r w:rsidR="00674420">
        <w:t xml:space="preserve"> </w:t>
      </w:r>
      <w:r>
        <w:t xml:space="preserve">V drugem odstavku je določena predložitev blaga takoj ob prihodu na drug del carinskega območja Unije, če je blago odposlano z ozemlja s posebno davčno ureditvijo na drug del carinskega območja Unije, vendar v okviru iste države </w:t>
      </w:r>
      <w:r>
        <w:lastRenderedPageBreak/>
        <w:t>članice Unije.</w:t>
      </w:r>
      <w:r w:rsidR="00674420">
        <w:t xml:space="preserve"> </w:t>
      </w:r>
      <w:r>
        <w:t>V tretjem odstavku je določena predložitev blaga takoj ob prihodu na ozem</w:t>
      </w:r>
      <w:r w:rsidR="00061F4B">
        <w:t>lje s posebno davčno ureditvijo</w:t>
      </w:r>
      <w:r>
        <w:t xml:space="preserve">, če je blago odposlano z drugega dela carinskega območja Unije, vendar v okviru iste države članice Unije. S soglasjem carinskega organa zadevne države </w:t>
      </w:r>
      <w:r w:rsidR="00BA2B6F">
        <w:t>članice p</w:t>
      </w:r>
      <w:r>
        <w:t xml:space="preserve">a se </w:t>
      </w:r>
      <w:r w:rsidR="00BA2B6F">
        <w:t xml:space="preserve">blago </w:t>
      </w:r>
      <w:r>
        <w:t>lahko predloži pri določenem carinskem uradu ali na katerem koli drugem kraju, ki ga določi ali odobri navedeni carinski organ pred odhodom blaga iz kraja odpreme. Blago predloži oseba, ki ga vnese na ozemlje s posebno davčno ureditvijo, ali oseba, v imenu katere ali za račun katere se blago vnese na ozemlje s posebno davčno ureditvijo.</w:t>
      </w:r>
      <w:r w:rsidR="00674420">
        <w:t xml:space="preserve"> </w:t>
      </w:r>
      <w:r>
        <w:t>V četrtem odstavku je določeno, da za odpremljeno blago znotraj iste države članice Unije veljajo le carinske določbe, ki so v skladu s členom 134 DU, ki opredeljuje carinske deklaracije v okviru trgovine z ozemlji s posebno</w:t>
      </w:r>
      <w:r w:rsidR="00BA2B6F">
        <w:t xml:space="preserve"> davčno ureditvijo. Dopolnitve </w:t>
      </w:r>
      <w:r>
        <w:t>drugega do četrtega ostavka člena 114 DU niso aktualne za Slovenijo.</w:t>
      </w:r>
    </w:p>
    <w:p w14:paraId="2BBC7B07" w14:textId="77777777" w:rsidR="00F771EE" w:rsidRPr="002C034C" w:rsidRDefault="00F771EE" w:rsidP="00FB47CC">
      <w:pPr>
        <w:jc w:val="both"/>
      </w:pPr>
    </w:p>
    <w:p w14:paraId="0FA0218A" w14:textId="77777777" w:rsidR="00491AEA" w:rsidRDefault="00944E51" w:rsidP="00FB47CC">
      <w:pPr>
        <w:jc w:val="both"/>
        <w:rPr>
          <w:u w:val="single"/>
        </w:rPr>
      </w:pPr>
      <w:r>
        <w:rPr>
          <w:u w:val="single"/>
        </w:rPr>
        <w:t>Odobritev kraja za predložitev blaga carini in za začasno hrambo</w:t>
      </w:r>
    </w:p>
    <w:p w14:paraId="07CF8C31" w14:textId="3D71719C" w:rsidR="00A40FCE" w:rsidRPr="00AB20C8" w:rsidRDefault="00842878" w:rsidP="00A40FCE">
      <w:pPr>
        <w:jc w:val="both"/>
      </w:pPr>
      <w:r w:rsidRPr="00AB20C8">
        <w:t>V skladu s členom 115</w:t>
      </w:r>
      <w:r w:rsidR="00AB20C8">
        <w:t>(</w:t>
      </w:r>
      <w:r w:rsidR="00A40FCE" w:rsidRPr="00AB20C8">
        <w:t>1</w:t>
      </w:r>
      <w:r w:rsidR="00AB20C8">
        <w:t xml:space="preserve">) </w:t>
      </w:r>
      <w:r w:rsidRPr="00AB20C8">
        <w:t xml:space="preserve">DU se </w:t>
      </w:r>
      <w:r w:rsidR="00BA2B6F">
        <w:t xml:space="preserve">za </w:t>
      </w:r>
      <w:r w:rsidRPr="00AB20C8">
        <w:t xml:space="preserve">namene predložitve blaga lahko odobri kraj, ki ni pristojni carinski urad, pod pogojem, da je blago dano v carinski postopek ali se ponovno izvozi v zelo kratkem času. Da bi lahko ta pogoj izpolnjevalo več gospodarskih subjektov, se </w:t>
      </w:r>
      <w:r w:rsidR="008C3D0F">
        <w:t xml:space="preserve">je z dopolnjenim členom 115 DU </w:t>
      </w:r>
      <w:r w:rsidRPr="00AB20C8">
        <w:t>rok za predložitev blaga v carinski postopek podaljšal. Naveden</w:t>
      </w:r>
      <w:r w:rsidR="00061F4B">
        <w:t>a</w:t>
      </w:r>
      <w:r w:rsidRPr="00AB20C8">
        <w:t xml:space="preserve"> </w:t>
      </w:r>
      <w:r w:rsidR="004447C4" w:rsidRPr="00AB20C8">
        <w:t xml:space="preserve">sprememba </w:t>
      </w:r>
      <w:r w:rsidRPr="00AB20C8">
        <w:t xml:space="preserve">velja tudi za </w:t>
      </w:r>
      <w:r w:rsidR="004447C4" w:rsidRPr="00AB20C8">
        <w:t>člen 115</w:t>
      </w:r>
      <w:r w:rsidR="00AB20C8">
        <w:t>(</w:t>
      </w:r>
      <w:r w:rsidR="004447C4" w:rsidRPr="00AB20C8">
        <w:t>2</w:t>
      </w:r>
      <w:r w:rsidR="00AB20C8">
        <w:t>)</w:t>
      </w:r>
      <w:r w:rsidR="004447C4" w:rsidRPr="00AB20C8">
        <w:t xml:space="preserve"> DU, za </w:t>
      </w:r>
      <w:r w:rsidRPr="00AB20C8">
        <w:t xml:space="preserve">primer </w:t>
      </w:r>
      <w:r w:rsidR="00A40FCE" w:rsidRPr="00AB20C8">
        <w:t xml:space="preserve">odobritve kraja za začasno hrambo, ki ni prostor za začasno hrambo. </w:t>
      </w:r>
    </w:p>
    <w:p w14:paraId="4041E315" w14:textId="77777777" w:rsidR="00A40FCE" w:rsidRDefault="00A40FCE" w:rsidP="00A40FCE">
      <w:pPr>
        <w:jc w:val="both"/>
      </w:pPr>
    </w:p>
    <w:p w14:paraId="3AB167B5" w14:textId="03712E6F" w:rsidR="00A40FCE" w:rsidRDefault="00A40FCE" w:rsidP="00A40FCE">
      <w:pPr>
        <w:jc w:val="both"/>
      </w:pPr>
      <w:r>
        <w:t xml:space="preserve">Sprememba člena </w:t>
      </w:r>
      <w:r w:rsidR="004447C4">
        <w:t>115</w:t>
      </w:r>
      <w:r w:rsidR="00AB20C8">
        <w:t>(</w:t>
      </w:r>
      <w:r w:rsidR="004447C4">
        <w:t>1</w:t>
      </w:r>
      <w:r w:rsidR="00AB20C8">
        <w:t>)</w:t>
      </w:r>
      <w:r w:rsidR="004447C4">
        <w:t xml:space="preserve"> DU </w:t>
      </w:r>
      <w:r w:rsidRPr="00AB20C8">
        <w:t>vpliva na izvajanje dovoljenj za pooblaščenega prejemnika, odobreni kraj predložitve blaga carini in za poenostavitve</w:t>
      </w:r>
      <w:r>
        <w:t>. Pred spremembo določbe je moralo biti blago, predloženo na odobrenem kraju oz. na kraju, odobrenem za začasno hrambo blaga, dano v carinski postopek naslednji dan po njegovi predložitvi. V skladu s spremenjeno določbo, lahko imetnik dovoljenja za pooblaščenega prejemnika, ki je hkrati imetnik dovoljenja za odobreni kraj predložitve blaga carini oz. dovoljenja za poenostavljeni postopek, vloži deklaracijo za izbrani carinski postopek v šestih dneh po predložitvi blaga carini. Imetnik dovoljenja za odobreni kraj predložitve blaga carini, ki ni hkrati pooblaščeni prejemnik, pa bo moral dati blago v carinski postopek v treh dneh po njegovi predložitvi. Skladno s tem bodo ustrezno spremenjena tudi področna navodila (Navodilo o odobrenem kraju predložitve blaga carini, št. 4/2016 in Navodilo o poenostavitvah pri carinjenju blaga, št. 6/2017).</w:t>
      </w:r>
      <w:r w:rsidR="004447C4">
        <w:t xml:space="preserve"> </w:t>
      </w:r>
      <w:r w:rsidR="004447C4" w:rsidRPr="00674420">
        <w:t>Dovoljenj za poenostavljene postopke zaradi navedene spremembe ne bo potrebno spreminjati.</w:t>
      </w:r>
    </w:p>
    <w:p w14:paraId="42E464BE" w14:textId="77777777" w:rsidR="00A40FCE" w:rsidRDefault="00A40FCE" w:rsidP="00A40FCE">
      <w:pPr>
        <w:jc w:val="both"/>
        <w:rPr>
          <w:u w:val="single"/>
        </w:rPr>
      </w:pPr>
    </w:p>
    <w:p w14:paraId="4EF9ACA2" w14:textId="54C763E9" w:rsidR="004447C4" w:rsidRDefault="00A40FCE" w:rsidP="004447C4">
      <w:pPr>
        <w:jc w:val="both"/>
      </w:pPr>
      <w:r>
        <w:t>V primeru odobrenega kraja za začasno hrambo iz člena 115</w:t>
      </w:r>
      <w:r w:rsidR="00AB20C8">
        <w:t>(</w:t>
      </w:r>
      <w:r>
        <w:t>2</w:t>
      </w:r>
      <w:r w:rsidR="00AB20C8">
        <w:t>)</w:t>
      </w:r>
      <w:r>
        <w:t xml:space="preserve"> </w:t>
      </w:r>
      <w:r w:rsidR="00AB20C8">
        <w:t>DU</w:t>
      </w:r>
      <w:r>
        <w:t xml:space="preserve"> se rok </w:t>
      </w:r>
      <w:r w:rsidR="004447C4">
        <w:t xml:space="preserve">podaljša </w:t>
      </w:r>
      <w:r w:rsidRPr="00A40FCE">
        <w:t>iz enega na tri dni, v primeru pooblaščenega prejemnika pa na šest dni</w:t>
      </w:r>
      <w:r w:rsidR="004447C4">
        <w:t xml:space="preserve"> </w:t>
      </w:r>
      <w:r w:rsidR="004447C4" w:rsidRPr="005C4D2B">
        <w:t>(27. točka Navodila o začasni hrambi blaga, št. 15/2016).</w:t>
      </w:r>
    </w:p>
    <w:p w14:paraId="78C87C21" w14:textId="77777777" w:rsidR="00F771EE" w:rsidRPr="005C4D2B" w:rsidRDefault="00F771EE" w:rsidP="004447C4">
      <w:pPr>
        <w:jc w:val="both"/>
      </w:pPr>
    </w:p>
    <w:p w14:paraId="0BD6AFB9" w14:textId="77777777" w:rsidR="00D1710C" w:rsidRDefault="00D1710C" w:rsidP="00FB47CC">
      <w:pPr>
        <w:jc w:val="both"/>
        <w:rPr>
          <w:u w:val="single"/>
        </w:rPr>
      </w:pPr>
      <w:r>
        <w:rPr>
          <w:u w:val="single"/>
        </w:rPr>
        <w:t>Proizvodi in blago, ki se pretovarjajo in prevažajo prek države ali ozemlja, ki ni del carinskega območja</w:t>
      </w:r>
    </w:p>
    <w:p w14:paraId="579D4BD8" w14:textId="2E01DD8C" w:rsidR="009F2137" w:rsidRDefault="00D1710C" w:rsidP="00FB47CC">
      <w:pPr>
        <w:jc w:val="both"/>
      </w:pPr>
      <w:r w:rsidRPr="009F2137">
        <w:t xml:space="preserve">Nov člen </w:t>
      </w:r>
      <w:r w:rsidR="009F2137">
        <w:t xml:space="preserve">133 </w:t>
      </w:r>
      <w:r w:rsidRPr="009F2137">
        <w:t xml:space="preserve">DU </w:t>
      </w:r>
      <w:r w:rsidR="009F2137" w:rsidRPr="009F2137">
        <w:t xml:space="preserve">vsebuje v prvem pododstavku prvega odstavka redakcijske popravke, v novem drugem pododstavku pa določa, da za namene predložitve </w:t>
      </w:r>
      <w:r w:rsidR="009F2137">
        <w:t>carinskim organom</w:t>
      </w:r>
      <w:r w:rsidR="009F2137" w:rsidRPr="009F2137">
        <w:t xml:space="preserve"> države ali ozemlja, ki ni del carinskega območja Unije</w:t>
      </w:r>
      <w:r w:rsidR="009F2137">
        <w:t>, v izvod ribolovnega ladijskega dnevnika ni treba vključiti informacij o kraju, kjer so bili ulovljeni proizvodi morskega ribolova</w:t>
      </w:r>
      <w:r w:rsidR="008C3D0F">
        <w:t>,</w:t>
      </w:r>
      <w:r w:rsidR="009F2137">
        <w:t xml:space="preserve"> kot je določeno v členu 130(1)(a) DU. </w:t>
      </w:r>
      <w:r w:rsidR="00CA6C35">
        <w:t>D</w:t>
      </w:r>
      <w:r w:rsidR="009F2137">
        <w:t xml:space="preserve">rugi odstavek člena 133 DU </w:t>
      </w:r>
      <w:r w:rsidR="00B6386B">
        <w:t>nadalje določa</w:t>
      </w:r>
      <w:r w:rsidR="009F2137">
        <w:t>, da</w:t>
      </w:r>
      <w:r w:rsidR="008C3D0F">
        <w:t>,</w:t>
      </w:r>
      <w:r w:rsidR="009F2137">
        <w:t xml:space="preserve"> kadar se za namene </w:t>
      </w:r>
      <w:r w:rsidR="003D7DA5">
        <w:t xml:space="preserve">prejšnjega </w:t>
      </w:r>
      <w:r w:rsidR="009F2137">
        <w:t>odstavka  uporabijo obrazci ali dokumenti, ki niso izvod r</w:t>
      </w:r>
      <w:r w:rsidR="003D7DA5">
        <w:t>i</w:t>
      </w:r>
      <w:r w:rsidR="009F2137">
        <w:t xml:space="preserve">bolovnega ladijskega </w:t>
      </w:r>
      <w:r w:rsidR="003D7DA5">
        <w:t xml:space="preserve">dnevnika, morajo le-ti vsebovati tudi sklic na ribolovni ladijski dnevnik, ki omogoča identifikacijo ribolovnega potovanja. </w:t>
      </w:r>
    </w:p>
    <w:p w14:paraId="48738731" w14:textId="77777777" w:rsidR="009F2137" w:rsidRDefault="009F2137" w:rsidP="00FB47CC">
      <w:pPr>
        <w:jc w:val="both"/>
      </w:pPr>
    </w:p>
    <w:p w14:paraId="131647F5" w14:textId="189D0F51" w:rsidR="00B6386B" w:rsidRDefault="004056E7" w:rsidP="00FB47CC">
      <w:pPr>
        <w:jc w:val="both"/>
      </w:pPr>
      <w:r>
        <w:t>Nova u</w:t>
      </w:r>
      <w:r w:rsidR="00CA6C35">
        <w:t xml:space="preserve">reditev je uvedena zaradi zaščite </w:t>
      </w:r>
      <w:r w:rsidR="009F2137">
        <w:t xml:space="preserve">informacij o </w:t>
      </w:r>
      <w:r w:rsidR="00CA6C35">
        <w:t>k</w:t>
      </w:r>
      <w:r w:rsidR="00B6386B">
        <w:t xml:space="preserve">raju ulova ribiških proizvodov, tako da se </w:t>
      </w:r>
      <w:r w:rsidR="008C3D0F">
        <w:t xml:space="preserve">te informacije </w:t>
      </w:r>
      <w:r w:rsidR="00B6386B">
        <w:t xml:space="preserve">lahko izločijo pri predložitvi ribolovnega dnevnika carinskim organom tretjih držav.  </w:t>
      </w:r>
    </w:p>
    <w:p w14:paraId="58D33DB8" w14:textId="77777777" w:rsidR="00D1710C" w:rsidRDefault="00D1710C" w:rsidP="00FB47CC">
      <w:pPr>
        <w:jc w:val="both"/>
        <w:rPr>
          <w:u w:val="single"/>
        </w:rPr>
      </w:pPr>
    </w:p>
    <w:p w14:paraId="1C196945" w14:textId="77777777" w:rsidR="00890445" w:rsidRDefault="00890445" w:rsidP="00FB47CC">
      <w:pPr>
        <w:jc w:val="both"/>
        <w:rPr>
          <w:u w:val="single"/>
        </w:rPr>
      </w:pPr>
    </w:p>
    <w:p w14:paraId="15E82B33" w14:textId="77777777" w:rsidR="00890445" w:rsidRDefault="00890445" w:rsidP="00FB47CC">
      <w:pPr>
        <w:jc w:val="both"/>
        <w:rPr>
          <w:u w:val="single"/>
        </w:rPr>
      </w:pPr>
    </w:p>
    <w:p w14:paraId="3AF3B321" w14:textId="77777777" w:rsidR="00FB47CC" w:rsidRPr="00BC2CC6" w:rsidRDefault="00FB47CC" w:rsidP="00FB47CC">
      <w:pPr>
        <w:jc w:val="both"/>
        <w:rPr>
          <w:u w:val="single"/>
        </w:rPr>
      </w:pPr>
      <w:r w:rsidRPr="00BC2CC6">
        <w:rPr>
          <w:u w:val="single"/>
        </w:rPr>
        <w:lastRenderedPageBreak/>
        <w:t>Carinske deklaracije v okviru trgovine z ozemlji s posebno davčno ureditvijo</w:t>
      </w:r>
    </w:p>
    <w:p w14:paraId="64B58B95" w14:textId="2318CDE2" w:rsidR="00FB47CC" w:rsidRDefault="00FB47CC" w:rsidP="00FB47CC">
      <w:pPr>
        <w:jc w:val="both"/>
      </w:pPr>
      <w:r w:rsidRPr="00C74FF5">
        <w:t xml:space="preserve">Spremenjeni člen 134 DU je razdeljen na </w:t>
      </w:r>
      <w:r w:rsidR="00BC2CC6">
        <w:t>tri</w:t>
      </w:r>
      <w:r w:rsidRPr="00C74FF5">
        <w:t xml:space="preserve"> odstavke (dosedanji</w:t>
      </w:r>
      <w:r>
        <w:t xml:space="preserve"> je imel dva).</w:t>
      </w:r>
      <w:r w:rsidRPr="008F7F59">
        <w:t xml:space="preserve"> </w:t>
      </w:r>
      <w:r>
        <w:t>Sprememba je bila narejena z namenom poenostavitve carinskih formalnosti in kontrol v primeru trgovine z ozemlji s posebno davčno ureditvijo. Prvi odstavek je dopolnjen z navedbo, da se v tem odstavku navedene določbe sm</w:t>
      </w:r>
      <w:r w:rsidR="00061F4B">
        <w:t xml:space="preserve">iselno uporabljajo za trgovino </w:t>
      </w:r>
      <w:r>
        <w:t xml:space="preserve">z </w:t>
      </w:r>
      <w:proofErr w:type="spellStart"/>
      <w:r>
        <w:t>unijskim</w:t>
      </w:r>
      <w:proofErr w:type="spellEnd"/>
      <w:r>
        <w:t xml:space="preserve"> blagom.</w:t>
      </w:r>
      <w:r w:rsidR="00061F4B">
        <w:t xml:space="preserve"> </w:t>
      </w:r>
      <w:r>
        <w:t xml:space="preserve">V drugem odstavku je v okviru trgovine z </w:t>
      </w:r>
      <w:proofErr w:type="spellStart"/>
      <w:r>
        <w:t>unijskim</w:t>
      </w:r>
      <w:proofErr w:type="spellEnd"/>
      <w:r>
        <w:t xml:space="preserve"> blagom, ki poteka v isti državi članici Unije</w:t>
      </w:r>
      <w:r w:rsidR="00061F4B">
        <w:t>,</w:t>
      </w:r>
      <w:r>
        <w:t xml:space="preserve"> dana možnost, da lahko carinski organi odobrijo uporabo enotnega dokumenta tako za prijavo odpreme kot vnosa.</w:t>
      </w:r>
      <w:r w:rsidR="00061F4B">
        <w:t xml:space="preserve"> </w:t>
      </w:r>
      <w:r>
        <w:t xml:space="preserve">V tretjem odstavku je v okviru trgovine z </w:t>
      </w:r>
      <w:proofErr w:type="spellStart"/>
      <w:r>
        <w:t>unijskim</w:t>
      </w:r>
      <w:proofErr w:type="spellEnd"/>
      <w:r>
        <w:t xml:space="preserve"> blagom, ki poteka v isti državi članici Unije</w:t>
      </w:r>
      <w:r w:rsidR="00061F4B">
        <w:t>,</w:t>
      </w:r>
      <w:r>
        <w:t xml:space="preserve"> dana možnost, da carinski organi lahko dovolijo do datumov posodobitve nacionalnih sistemov uvoza, uporabo računa ali prevozne listine namesto deklaracije o odpremi in vnosu.</w:t>
      </w:r>
    </w:p>
    <w:p w14:paraId="099F2A20" w14:textId="77777777" w:rsidR="00061F4B" w:rsidRDefault="00061F4B" w:rsidP="00FB47CC">
      <w:pPr>
        <w:jc w:val="both"/>
      </w:pPr>
    </w:p>
    <w:p w14:paraId="23B8C240" w14:textId="77777777" w:rsidR="00FB47CC" w:rsidRDefault="00FB47CC" w:rsidP="00FB47CC">
      <w:pPr>
        <w:jc w:val="both"/>
      </w:pPr>
      <w:r>
        <w:t>Dopolnitve iz drugega in tretjega odstavka člena 134 DU niso aktualne za Slovenijo.</w:t>
      </w:r>
    </w:p>
    <w:p w14:paraId="0200D30B" w14:textId="77777777" w:rsidR="00BA6227" w:rsidRDefault="00BA6227" w:rsidP="00FB47CC">
      <w:pPr>
        <w:jc w:val="both"/>
      </w:pPr>
    </w:p>
    <w:p w14:paraId="74ACEC8A" w14:textId="77777777" w:rsidR="00BA6227" w:rsidRPr="00BA6227" w:rsidRDefault="00BA6227" w:rsidP="00FB47CC">
      <w:pPr>
        <w:jc w:val="both"/>
        <w:rPr>
          <w:u w:val="single"/>
        </w:rPr>
      </w:pPr>
      <w:r w:rsidRPr="00BA6227">
        <w:rPr>
          <w:u w:val="single"/>
        </w:rPr>
        <w:t>Izračun zneska uvozne dajatve</w:t>
      </w:r>
      <w:r>
        <w:rPr>
          <w:u w:val="single"/>
        </w:rPr>
        <w:t xml:space="preserve"> v nekaterih primerih aktivnega oplemenitenje</w:t>
      </w:r>
    </w:p>
    <w:p w14:paraId="28FB5609" w14:textId="77777777" w:rsidR="00BA6227" w:rsidRDefault="002E14E4" w:rsidP="00BA6227">
      <w:pPr>
        <w:jc w:val="both"/>
        <w:rPr>
          <w:rFonts w:cs="Arial"/>
          <w:color w:val="000000"/>
          <w:szCs w:val="20"/>
        </w:rPr>
      </w:pPr>
      <w:r>
        <w:rPr>
          <w:rFonts w:cs="Arial"/>
          <w:color w:val="000000"/>
          <w:szCs w:val="20"/>
        </w:rPr>
        <w:t xml:space="preserve">Drugi odstavek člena 168 DU se </w:t>
      </w:r>
      <w:r w:rsidR="00BA6227">
        <w:rPr>
          <w:rFonts w:cs="Arial"/>
          <w:color w:val="000000"/>
          <w:szCs w:val="20"/>
        </w:rPr>
        <w:t>črta, ker gre za besedilo, že omenjeno v členu 76(b) DU.</w:t>
      </w:r>
      <w:r>
        <w:rPr>
          <w:rFonts w:cs="Arial"/>
          <w:color w:val="000000"/>
          <w:szCs w:val="20"/>
        </w:rPr>
        <w:t xml:space="preserve"> </w:t>
      </w:r>
    </w:p>
    <w:p w14:paraId="4D20510A" w14:textId="77777777" w:rsidR="00BA6227" w:rsidRDefault="00BA6227" w:rsidP="00FB47CC">
      <w:pPr>
        <w:jc w:val="both"/>
      </w:pPr>
    </w:p>
    <w:p w14:paraId="6BD1C831" w14:textId="77777777" w:rsidR="00FB47CC" w:rsidRPr="00BC2CC6" w:rsidRDefault="00FB47CC" w:rsidP="00FB47CC">
      <w:pPr>
        <w:jc w:val="both"/>
        <w:rPr>
          <w:u w:val="single"/>
        </w:rPr>
      </w:pPr>
      <w:r w:rsidRPr="00BC2CC6">
        <w:rPr>
          <w:u w:val="single"/>
        </w:rPr>
        <w:t>Mešano skladiščenje proizvodov, za katere velja carinski nadzor v okviru posebne rabe</w:t>
      </w:r>
    </w:p>
    <w:p w14:paraId="36AB3A70" w14:textId="17B6A2D8" w:rsidR="00FB47CC" w:rsidRDefault="005C4D2B" w:rsidP="00FB47CC">
      <w:pPr>
        <w:jc w:val="both"/>
      </w:pPr>
      <w:r>
        <w:t xml:space="preserve">Dodan je nov </w:t>
      </w:r>
      <w:r w:rsidR="00FB47CC">
        <w:t xml:space="preserve">člen </w:t>
      </w:r>
      <w:r>
        <w:t xml:space="preserve">177a </w:t>
      </w:r>
      <w:r w:rsidR="00FB47CC">
        <w:t>DU, ki ureja mešano skladiščenje proizvodov.</w:t>
      </w:r>
      <w:r w:rsidR="00061F4B">
        <w:t xml:space="preserve"> </w:t>
      </w:r>
      <w:r w:rsidR="00FB47CC">
        <w:t>Dodani člen predpisuje, da je potrebno v dovoljenju za posebno rabo določiti sredstva in metode za id</w:t>
      </w:r>
      <w:r w:rsidR="008C3D0F">
        <w:t xml:space="preserve">entifikacijo in carinski nadzor </w:t>
      </w:r>
      <w:r w:rsidR="00FB47CC">
        <w:t xml:space="preserve">mešanega skladiščenja proizvodov iz poglavij 27 in 29 kombinirane nomenklature, ki so predmet carinskega nadzora, ali navedenih proizvodov, ki vsebujejo surovo nafto, ki se uvršča pod oznako 2709 00.  Vendar, če ti proizvodi ne spadajo pod isto osemmestno oznako KN ali </w:t>
      </w:r>
      <w:r w:rsidR="00393D5A">
        <w:t xml:space="preserve">nimajo </w:t>
      </w:r>
      <w:r w:rsidR="00FB47CC">
        <w:t>enake trgovske kvalitete ter enakih tehničnih in fizikalnih lastnosti, se mešano skladiščenje lahko dovoli samo, če bo celotna mešanica predmet ene od obdelav iz dodatne opombe 5 k poglavju 27 KN.</w:t>
      </w:r>
    </w:p>
    <w:p w14:paraId="5B07F5DB" w14:textId="77777777" w:rsidR="00061F4B" w:rsidRDefault="00061F4B" w:rsidP="00FB47CC">
      <w:pPr>
        <w:jc w:val="both"/>
      </w:pPr>
    </w:p>
    <w:p w14:paraId="61EDB87F" w14:textId="549207E4" w:rsidR="00FB47CC" w:rsidRDefault="00FB47CC" w:rsidP="00FB47CC">
      <w:pPr>
        <w:jc w:val="both"/>
      </w:pPr>
      <w:r>
        <w:t xml:space="preserve">Če je z dovoljenjem za posebno rabo omogočeno tudi mešano skladiščenje, mora dovoljenje zagotoviti zadostna jamstva za nadaljnjo identifikacijo različnega blaga, ki je bilo zmešano, in za omogočanje njihovega carinskega nadzora. Proizvodi se lahko mešano skladiščijo le, če so uvrščeni </w:t>
      </w:r>
      <w:r w:rsidR="005C4D2B">
        <w:t xml:space="preserve">pod isto osemmestno oznako KN, </w:t>
      </w:r>
      <w:r>
        <w:t>drugače le, če bo celotna mešanica predmet ene od predpisanih obdelav.</w:t>
      </w:r>
      <w:r w:rsidR="00393D5A">
        <w:t xml:space="preserve"> </w:t>
      </w:r>
    </w:p>
    <w:p w14:paraId="3E4EFB7E" w14:textId="77777777" w:rsidR="00F771EE" w:rsidRDefault="00F771EE" w:rsidP="00FB47CC">
      <w:pPr>
        <w:jc w:val="both"/>
      </w:pPr>
    </w:p>
    <w:p w14:paraId="600BE213" w14:textId="77777777" w:rsidR="00B6386B" w:rsidRPr="00B6386B" w:rsidRDefault="00B6386B" w:rsidP="007D75CF">
      <w:pPr>
        <w:rPr>
          <w:u w:val="single"/>
        </w:rPr>
      </w:pPr>
      <w:r w:rsidRPr="00B6386B">
        <w:rPr>
          <w:u w:val="single"/>
        </w:rPr>
        <w:t>Uporaba postopka zunanjega tranzita v posebnih primerih</w:t>
      </w:r>
    </w:p>
    <w:p w14:paraId="75722A0A" w14:textId="77777777" w:rsidR="00F771EE" w:rsidRDefault="00DB7B1F" w:rsidP="00740E3C">
      <w:pPr>
        <w:jc w:val="both"/>
      </w:pPr>
      <w:r>
        <w:t>Člen 189 DU</w:t>
      </w:r>
      <w:r w:rsidR="0057166C">
        <w:t xml:space="preserve"> se nadomesti z novim členom, v katerem se </w:t>
      </w:r>
      <w:r w:rsidR="00740E3C">
        <w:t xml:space="preserve">v prvem in drugem odstavku </w:t>
      </w:r>
      <w:r w:rsidR="0057166C">
        <w:t>doda</w:t>
      </w:r>
      <w:r w:rsidR="00740E3C">
        <w:t xml:space="preserve"> možnost</w:t>
      </w:r>
      <w:r w:rsidR="008C3D0F">
        <w:t xml:space="preserve"> </w:t>
      </w:r>
      <w:r>
        <w:t>uporab</w:t>
      </w:r>
      <w:r w:rsidR="0057166C">
        <w:t>e</w:t>
      </w:r>
      <w:r>
        <w:t xml:space="preserve"> zunanjega tranzita za pomanjkljivo blago ali blag</w:t>
      </w:r>
      <w:r w:rsidR="00740E3C">
        <w:t>o</w:t>
      </w:r>
      <w:r>
        <w:t xml:space="preserve">, ki ne izpolnjuje pogojev pogodbe (člen 118 </w:t>
      </w:r>
      <w:r w:rsidR="00405269">
        <w:t>CZU</w:t>
      </w:r>
      <w:r>
        <w:t xml:space="preserve">). </w:t>
      </w:r>
      <w:r w:rsidR="00740E3C">
        <w:t xml:space="preserve">S tem je omogočeno, da je </w:t>
      </w:r>
      <w:proofErr w:type="spellStart"/>
      <w:r w:rsidR="00740E3C">
        <w:t>u</w:t>
      </w:r>
      <w:r>
        <w:t>nijsko</w:t>
      </w:r>
      <w:proofErr w:type="spellEnd"/>
      <w:r>
        <w:t xml:space="preserve"> blago, ki je upravičeno do povračila ali odpusta uvozne dajatve</w:t>
      </w:r>
      <w:r w:rsidR="00740E3C">
        <w:t xml:space="preserve">, </w:t>
      </w:r>
      <w:r>
        <w:t xml:space="preserve">lahko dano v postopek zunanjega tranzita iz členov 118(4) in  </w:t>
      </w:r>
      <w:r w:rsidR="00740E3C">
        <w:t xml:space="preserve">226(2) </w:t>
      </w:r>
      <w:r w:rsidR="00405269">
        <w:t>CZU</w:t>
      </w:r>
      <w:r w:rsidR="00821286">
        <w:t xml:space="preserve"> namesto</w:t>
      </w:r>
      <w:r w:rsidR="00740E3C">
        <w:t xml:space="preserve"> da se iznese s carinskega območja Unije. V obeh primerih navedeno blago izgubi svoj carinski status </w:t>
      </w:r>
      <w:proofErr w:type="spellStart"/>
      <w:r w:rsidR="00740E3C">
        <w:t>unijskega</w:t>
      </w:r>
      <w:proofErr w:type="spellEnd"/>
      <w:r w:rsidR="00740E3C">
        <w:t xml:space="preserve"> blaga. </w:t>
      </w:r>
    </w:p>
    <w:p w14:paraId="2D2F4A28" w14:textId="77777777" w:rsidR="00F771EE" w:rsidRDefault="00D272FF" w:rsidP="00740E3C">
      <w:pPr>
        <w:jc w:val="both"/>
      </w:pPr>
      <w:r>
        <w:t xml:space="preserve">Z novim tretjim odstavkom je </w:t>
      </w:r>
      <w:r w:rsidR="008C6B46">
        <w:t xml:space="preserve">z </w:t>
      </w:r>
      <w:r>
        <w:t xml:space="preserve">namenom poenostavitve uporabe izvoznega postopka, ki mu sledi postopek tranzita in odprave nevarnosti nastanka carinskega dolga in dolga za druge dajatve, ki niso zajete z zavarovanjem, za </w:t>
      </w:r>
      <w:proofErr w:type="spellStart"/>
      <w:r>
        <w:t>unijsko</w:t>
      </w:r>
      <w:proofErr w:type="spellEnd"/>
      <w:r>
        <w:t xml:space="preserve"> blago, izvoženo v tretjo državo, ki se giblje prek carinskega o</w:t>
      </w:r>
      <w:r w:rsidR="00D20134">
        <w:t>b</w:t>
      </w:r>
      <w:r>
        <w:t xml:space="preserve">močja Unije v okviru operacije TIR ali postopka tranzita na podlagi Konvencije ATA ali </w:t>
      </w:r>
      <w:r w:rsidR="00021AFF">
        <w:t>Istanbulske</w:t>
      </w:r>
      <w:r>
        <w:t xml:space="preserve"> konvencije, določeno, da se da v zunanji postopek tranzita, s čimer postane </w:t>
      </w:r>
      <w:proofErr w:type="spellStart"/>
      <w:r>
        <w:t>neunijsko</w:t>
      </w:r>
      <w:proofErr w:type="spellEnd"/>
      <w:r>
        <w:t xml:space="preserve"> blago. </w:t>
      </w:r>
      <w:r w:rsidR="00DD79E5">
        <w:t>S četrtem odstavkom se z</w:t>
      </w:r>
      <w:r>
        <w:t xml:space="preserve">a lažji nadzor gibanja trošarinskih izdelkov, ki so dani v izvozni postopek, kateremu sledi postopek tranzita, prav tako </w:t>
      </w:r>
      <w:r w:rsidR="00DD79E5">
        <w:t xml:space="preserve">da možnost </w:t>
      </w:r>
      <w:r>
        <w:t>uporab</w:t>
      </w:r>
      <w:r w:rsidR="00DD79E5">
        <w:t>e</w:t>
      </w:r>
      <w:r>
        <w:t xml:space="preserve"> postopka zunanjega tranzita iz člena 226(2)</w:t>
      </w:r>
      <w:r w:rsidR="00405269">
        <w:t xml:space="preserve"> CZU</w:t>
      </w:r>
      <w:r>
        <w:t xml:space="preserve">.  </w:t>
      </w:r>
    </w:p>
    <w:p w14:paraId="06CE00AC" w14:textId="77777777" w:rsidR="00890445" w:rsidRDefault="00890445" w:rsidP="00740E3C">
      <w:pPr>
        <w:jc w:val="both"/>
      </w:pPr>
    </w:p>
    <w:p w14:paraId="37262125" w14:textId="0A3C9D4D" w:rsidR="00DD79E5" w:rsidRPr="00F771EE" w:rsidRDefault="00DD79E5" w:rsidP="00740E3C">
      <w:pPr>
        <w:jc w:val="both"/>
      </w:pPr>
      <w:r w:rsidRPr="00DD79E5">
        <w:rPr>
          <w:u w:val="single"/>
        </w:rPr>
        <w:t xml:space="preserve">Dovoljenja za uporabo posebnih carinskih oznak </w:t>
      </w:r>
    </w:p>
    <w:p w14:paraId="4CD24E6D" w14:textId="1BD08EB2" w:rsidR="00B6386B" w:rsidRDefault="00DD79E5" w:rsidP="00DD79E5">
      <w:pPr>
        <w:jc w:val="both"/>
      </w:pPr>
      <w:r>
        <w:t xml:space="preserve">Z novim členom 197a </w:t>
      </w:r>
      <w:r w:rsidR="008C6B46">
        <w:t xml:space="preserve">DU </w:t>
      </w:r>
      <w:r>
        <w:t>se uskladi pristojnost za izdajo dovoljenja za uporabo posebnih carinskih oznak iz člena 233(4)</w:t>
      </w:r>
      <w:r w:rsidR="00821286">
        <w:t xml:space="preserve">(c) </w:t>
      </w:r>
      <w:r w:rsidR="00405269">
        <w:t>CZU</w:t>
      </w:r>
      <w:r w:rsidR="008C6B46">
        <w:t xml:space="preserve">, in sicer </w:t>
      </w:r>
      <w:r w:rsidR="00821286">
        <w:t>se zahtevek lahko predloži carinskemu</w:t>
      </w:r>
      <w:r>
        <w:t xml:space="preserve"> organ</w:t>
      </w:r>
      <w:r w:rsidR="00821286">
        <w:t>u</w:t>
      </w:r>
      <w:r>
        <w:t xml:space="preserve">, </w:t>
      </w:r>
      <w:r w:rsidR="00821286">
        <w:t xml:space="preserve">pristojnemu </w:t>
      </w:r>
      <w:r>
        <w:t xml:space="preserve">za sprejetje odločbe v državi članici, v kateri naj bi se začele operacije tranzita Unije pooblaščenega pošiljatelja. </w:t>
      </w:r>
    </w:p>
    <w:p w14:paraId="526B525C" w14:textId="77777777" w:rsidR="00F771EE" w:rsidRDefault="00F771EE" w:rsidP="00DD79E5">
      <w:pPr>
        <w:jc w:val="both"/>
      </w:pPr>
    </w:p>
    <w:p w14:paraId="1F628F75" w14:textId="5D2A5CE7" w:rsidR="00043A54" w:rsidRDefault="00043A54" w:rsidP="007D75CF">
      <w:pPr>
        <w:rPr>
          <w:u w:val="single"/>
        </w:rPr>
      </w:pPr>
      <w:r w:rsidRPr="00043A54">
        <w:rPr>
          <w:u w:val="single"/>
        </w:rPr>
        <w:t>Začasni uvoz</w:t>
      </w:r>
    </w:p>
    <w:p w14:paraId="23263859" w14:textId="77777777" w:rsidR="00043A54" w:rsidRPr="00A9115D" w:rsidRDefault="00DC5EF9" w:rsidP="005E2F1E">
      <w:pPr>
        <w:pStyle w:val="podpisi"/>
        <w:spacing w:line="260" w:lineRule="exact"/>
        <w:jc w:val="both"/>
        <w:rPr>
          <w:rFonts w:cs="Arial"/>
          <w:szCs w:val="20"/>
          <w:lang w:val="sl-SI"/>
        </w:rPr>
      </w:pPr>
      <w:r>
        <w:rPr>
          <w:rFonts w:cs="Arial"/>
          <w:szCs w:val="20"/>
          <w:lang w:val="sl-SI"/>
        </w:rPr>
        <w:t>Ker številne določbe v zvezi s začasnim uvozom zadevajo prevozno sredstvo za zasebno ali poslovno rabo</w:t>
      </w:r>
      <w:r w:rsidR="005E2F1E">
        <w:rPr>
          <w:rFonts w:cs="Arial"/>
          <w:szCs w:val="20"/>
          <w:lang w:val="sl-SI"/>
        </w:rPr>
        <w:t xml:space="preserve">, se v členu 207 DU (Splošne določbe) doda nov odstavek z opredelitvijo teh pojmov za namene vseh določb o popolni oprostitvi uvozne dajatve v okviru začasnega uvoza (preoblikovanje opredelitve iz člena 215(4) DU, veljavne za ta člen, v splošno pravilo za celoten Pododdelek 2 Oddelka 1 v Poglavju 4 DU). </w:t>
      </w:r>
      <w:r w:rsidR="00663EA6">
        <w:rPr>
          <w:rFonts w:cs="Arial"/>
          <w:szCs w:val="20"/>
          <w:lang w:val="sl-SI"/>
        </w:rPr>
        <w:t xml:space="preserve"> </w:t>
      </w:r>
    </w:p>
    <w:p w14:paraId="0C4C74B1" w14:textId="77777777" w:rsidR="00043A54" w:rsidRDefault="00043A54" w:rsidP="007D75CF"/>
    <w:p w14:paraId="6C257347" w14:textId="77777777" w:rsidR="00043A54" w:rsidRDefault="005E2F1E" w:rsidP="00FA3BDB">
      <w:pPr>
        <w:jc w:val="both"/>
      </w:pPr>
      <w:r>
        <w:t xml:space="preserve">V členu 215 DU se doda nov odstavek 2a, ki daje fizičnim osebam z običajnim prebivališčem na carinskim območju Unije, možnost popolne oprostitve </w:t>
      </w:r>
      <w:r w:rsidR="00FA3BDB">
        <w:t>uvozne dajatve za cestna prevozna sredstva, ki jih najamejo s pisno pogodbo, sklenjeno z agencijo za najem vozil izven Unije, in jih uporabljajo v zasebne namene. Črta se četrti odstavek, ker je opredelitev zasebne in poslovne rabe prenesena v člen 207.</w:t>
      </w:r>
      <w:r w:rsidR="00663EA6">
        <w:t xml:space="preserve"> Prav tako se v členu 218 doda nov četrti odstavek, ki omejuje takšno uporabo na krajše časovno obdobje (8 dni). </w:t>
      </w:r>
    </w:p>
    <w:p w14:paraId="73C467D8" w14:textId="77777777" w:rsidR="00663EA6" w:rsidRDefault="00663EA6" w:rsidP="00FA3BDB">
      <w:pPr>
        <w:jc w:val="both"/>
      </w:pPr>
    </w:p>
    <w:p w14:paraId="50D0CFD1" w14:textId="77777777" w:rsidR="00043A54" w:rsidRDefault="00FA3BDB" w:rsidP="00FA3BDB">
      <w:pPr>
        <w:jc w:val="both"/>
      </w:pPr>
      <w:r>
        <w:t xml:space="preserve">V členih 220, 223, 228, 231, 232, 233, 234, 235 in 236 DU se doda določba, da je uporaba postopka začasnega uvoza dovoljena tudi, kadar ima imetnik postopka sedež na carinskem območju Unije. Gre za normativno ureditev, ki omogoča prožnost ter izogibanje različnemu obravnavanju oseb s sedežem na območju Unije in zunaj njega za namene začasnega uvoza določenega blaga.  </w:t>
      </w:r>
    </w:p>
    <w:p w14:paraId="5D998945" w14:textId="77777777" w:rsidR="00186919" w:rsidRDefault="00186919" w:rsidP="00FA3BDB">
      <w:pPr>
        <w:jc w:val="both"/>
      </w:pPr>
    </w:p>
    <w:p w14:paraId="58786F89" w14:textId="1E519DA5" w:rsidR="00177BB1" w:rsidRDefault="00177BB1" w:rsidP="00821286">
      <w:pPr>
        <w:jc w:val="both"/>
      </w:pPr>
      <w:r>
        <w:t xml:space="preserve">Spremembe se nanašajo tudi na Prilogi A in B DU (ne predstavljajo vsebinskih novosti, ampak prilagoditev za ustreznejše izvajanje pravnih predpisov v elektronskih sistemih) ter Prilogo 22-01 DU, ki določa posebna pravila za določanje države, kadar je bilo določeno blago nazadnje bistveno predelano (opis podan v delu, ki se nanaša na poreklo). </w:t>
      </w:r>
    </w:p>
    <w:p w14:paraId="1F5BC2EC" w14:textId="77777777" w:rsidR="00177BB1" w:rsidRDefault="00177BB1" w:rsidP="00821286">
      <w:pPr>
        <w:jc w:val="both"/>
      </w:pPr>
    </w:p>
    <w:p w14:paraId="20F7E6F8" w14:textId="24C94568" w:rsidR="00821286" w:rsidRDefault="00821286" w:rsidP="00821286">
      <w:pPr>
        <w:jc w:val="both"/>
      </w:pPr>
      <w:r>
        <w:t>Delegirana uredba Komisije (EU) 2018/1063</w:t>
      </w:r>
      <w:r w:rsidR="00186919">
        <w:t xml:space="preserve"> vsebuje tudi popravke DU gre za natančnejša sklicevanja na člene CZU ter boljšo opredelitev nekaterih podatkovnih elementov v prilogah DU. Popravki se </w:t>
      </w:r>
      <w:r>
        <w:t>nanašajo na člene 124a, 126a, 129a, 129d, 131, 193, 195, 197 DU ter Prilog</w:t>
      </w:r>
      <w:r w:rsidR="00186919">
        <w:t xml:space="preserve">o </w:t>
      </w:r>
      <w:r>
        <w:t>A, Prilog</w:t>
      </w:r>
      <w:r w:rsidR="00186919">
        <w:t>o</w:t>
      </w:r>
      <w:r>
        <w:t xml:space="preserve"> B, Prilog</w:t>
      </w:r>
      <w:r w:rsidR="00177BB1">
        <w:t>o</w:t>
      </w:r>
      <w:r>
        <w:t xml:space="preserve"> B-03, Prilog</w:t>
      </w:r>
      <w:r w:rsidR="00177BB1">
        <w:t>o</w:t>
      </w:r>
      <w:r>
        <w:t xml:space="preserve"> B-05, </w:t>
      </w:r>
      <w:r w:rsidR="004E5D13">
        <w:t>Prilog</w:t>
      </w:r>
      <w:r w:rsidR="00177BB1">
        <w:t>o</w:t>
      </w:r>
      <w:r>
        <w:t xml:space="preserve"> 71-05 ter Prilog</w:t>
      </w:r>
      <w:r w:rsidR="00177BB1">
        <w:t>o</w:t>
      </w:r>
      <w:r>
        <w:t xml:space="preserve"> 90 DU. </w:t>
      </w:r>
    </w:p>
    <w:p w14:paraId="3D3AEAF3" w14:textId="2AFEFAC9" w:rsidR="00405269" w:rsidRDefault="00405269" w:rsidP="007D75CF"/>
    <w:p w14:paraId="48A98D6E" w14:textId="6F92F386" w:rsidR="004E5D13" w:rsidRDefault="004E5D13" w:rsidP="007D75CF">
      <w:r>
        <w:t xml:space="preserve">Navedene spremembe in popravki so začeli veljati 31. julija 2018. </w:t>
      </w:r>
    </w:p>
    <w:p w14:paraId="428A2FEF" w14:textId="77777777" w:rsidR="004E5D13" w:rsidRDefault="004E5D13" w:rsidP="007D75CF"/>
    <w:p w14:paraId="4FAA24CF" w14:textId="77777777" w:rsidR="007D75CF" w:rsidRPr="00202A77" w:rsidRDefault="007D75CF" w:rsidP="003E1C74">
      <w:pPr>
        <w:pStyle w:val="podpisi"/>
        <w:rPr>
          <w:lang w:val="sl-SI"/>
        </w:rPr>
      </w:pPr>
    </w:p>
    <w:sectPr w:rsidR="007D75CF" w:rsidRPr="00202A77"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7F373" w14:textId="77777777" w:rsidR="00FD19FF" w:rsidRDefault="00FD19FF">
      <w:r>
        <w:separator/>
      </w:r>
    </w:p>
  </w:endnote>
  <w:endnote w:type="continuationSeparator" w:id="0">
    <w:p w14:paraId="6373233D" w14:textId="77777777" w:rsidR="00FD19FF" w:rsidRDefault="00FD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AAEB7" w14:textId="77777777" w:rsidR="000B0B21" w:rsidRDefault="00751D38"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417252">
      <w:rPr>
        <w:rFonts w:cs="Arial"/>
        <w:noProof/>
        <w:sz w:val="16"/>
      </w:rPr>
      <w:t>6</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417252">
      <w:rPr>
        <w:rFonts w:cs="Arial"/>
        <w:noProof/>
        <w:sz w:val="16"/>
      </w:rPr>
      <w:t>6</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888D" w14:textId="77777777" w:rsidR="000B0B21" w:rsidRDefault="00751D38"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890445">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890445">
      <w:rPr>
        <w:rFonts w:cs="Arial"/>
        <w:noProof/>
        <w:sz w:val="16"/>
      </w:rPr>
      <w:t>6</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02329" w14:textId="77777777" w:rsidR="00FD19FF" w:rsidRDefault="00FD19FF">
      <w:r>
        <w:separator/>
      </w:r>
    </w:p>
  </w:footnote>
  <w:footnote w:type="continuationSeparator" w:id="0">
    <w:p w14:paraId="2A435567" w14:textId="77777777" w:rsidR="00FD19FF" w:rsidRDefault="00FD1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CA60F" w14:textId="77777777" w:rsidR="000B0B21" w:rsidRPr="00110CBD" w:rsidRDefault="000B0B2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B0B21" w:rsidRPr="008F3500" w14:paraId="127DE96C" w14:textId="77777777">
      <w:trPr>
        <w:cantSplit/>
        <w:trHeight w:hRule="exact" w:val="847"/>
      </w:trPr>
      <w:tc>
        <w:tcPr>
          <w:tcW w:w="567" w:type="dxa"/>
        </w:tcPr>
        <w:p w14:paraId="228C4577" w14:textId="77777777" w:rsidR="000B0B21" w:rsidRDefault="000B0B21"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7A51BC9F" w14:textId="77777777" w:rsidR="000B0B21" w:rsidRPr="006D42D9" w:rsidRDefault="000B0B21" w:rsidP="006D42D9">
          <w:pPr>
            <w:rPr>
              <w:rFonts w:ascii="Republika" w:hAnsi="Republika"/>
              <w:sz w:val="60"/>
              <w:szCs w:val="60"/>
            </w:rPr>
          </w:pPr>
        </w:p>
        <w:p w14:paraId="2CBE0A29" w14:textId="77777777" w:rsidR="000B0B21" w:rsidRPr="006D42D9" w:rsidRDefault="000B0B21" w:rsidP="006D42D9">
          <w:pPr>
            <w:rPr>
              <w:rFonts w:ascii="Republika" w:hAnsi="Republika"/>
              <w:sz w:val="60"/>
              <w:szCs w:val="60"/>
            </w:rPr>
          </w:pPr>
        </w:p>
        <w:p w14:paraId="11989E0A" w14:textId="77777777" w:rsidR="000B0B21" w:rsidRPr="006D42D9" w:rsidRDefault="000B0B21" w:rsidP="006D42D9">
          <w:pPr>
            <w:rPr>
              <w:rFonts w:ascii="Republika" w:hAnsi="Republika"/>
              <w:sz w:val="60"/>
              <w:szCs w:val="60"/>
            </w:rPr>
          </w:pPr>
        </w:p>
        <w:p w14:paraId="26F3A2A0" w14:textId="77777777" w:rsidR="000B0B21" w:rsidRPr="006D42D9" w:rsidRDefault="000B0B21" w:rsidP="006D42D9">
          <w:pPr>
            <w:rPr>
              <w:rFonts w:ascii="Republika" w:hAnsi="Republika"/>
              <w:sz w:val="60"/>
              <w:szCs w:val="60"/>
            </w:rPr>
          </w:pPr>
        </w:p>
        <w:p w14:paraId="6BB2A86B" w14:textId="77777777" w:rsidR="000B0B21" w:rsidRPr="006D42D9" w:rsidRDefault="000B0B21" w:rsidP="006D42D9">
          <w:pPr>
            <w:rPr>
              <w:rFonts w:ascii="Republika" w:hAnsi="Republika"/>
              <w:sz w:val="60"/>
              <w:szCs w:val="60"/>
            </w:rPr>
          </w:pPr>
        </w:p>
        <w:p w14:paraId="3FF3F7F9" w14:textId="77777777" w:rsidR="000B0B21" w:rsidRPr="006D42D9" w:rsidRDefault="000B0B21" w:rsidP="006D42D9">
          <w:pPr>
            <w:rPr>
              <w:rFonts w:ascii="Republika" w:hAnsi="Republika"/>
              <w:sz w:val="60"/>
              <w:szCs w:val="60"/>
            </w:rPr>
          </w:pPr>
        </w:p>
        <w:p w14:paraId="0D7CE2E7" w14:textId="77777777" w:rsidR="000B0B21" w:rsidRPr="006D42D9" w:rsidRDefault="000B0B21" w:rsidP="006D42D9">
          <w:pPr>
            <w:rPr>
              <w:rFonts w:ascii="Republika" w:hAnsi="Republika"/>
              <w:sz w:val="60"/>
              <w:szCs w:val="60"/>
            </w:rPr>
          </w:pPr>
        </w:p>
        <w:p w14:paraId="0B196A6C" w14:textId="77777777" w:rsidR="000B0B21" w:rsidRPr="006D42D9" w:rsidRDefault="000B0B21" w:rsidP="006D42D9">
          <w:pPr>
            <w:rPr>
              <w:rFonts w:ascii="Republika" w:hAnsi="Republika"/>
              <w:sz w:val="60"/>
              <w:szCs w:val="60"/>
            </w:rPr>
          </w:pPr>
        </w:p>
        <w:p w14:paraId="6914750B" w14:textId="77777777" w:rsidR="000B0B21" w:rsidRPr="006D42D9" w:rsidRDefault="000B0B21" w:rsidP="006D42D9">
          <w:pPr>
            <w:rPr>
              <w:rFonts w:ascii="Republika" w:hAnsi="Republika"/>
              <w:sz w:val="60"/>
              <w:szCs w:val="60"/>
            </w:rPr>
          </w:pPr>
        </w:p>
        <w:p w14:paraId="50DB0F98" w14:textId="77777777" w:rsidR="000B0B21" w:rsidRPr="006D42D9" w:rsidRDefault="000B0B21" w:rsidP="006D42D9">
          <w:pPr>
            <w:rPr>
              <w:rFonts w:ascii="Republika" w:hAnsi="Republika"/>
              <w:sz w:val="60"/>
              <w:szCs w:val="60"/>
            </w:rPr>
          </w:pPr>
        </w:p>
        <w:p w14:paraId="7EF229EF" w14:textId="77777777" w:rsidR="000B0B21" w:rsidRPr="006D42D9" w:rsidRDefault="000B0B21" w:rsidP="006D42D9">
          <w:pPr>
            <w:rPr>
              <w:rFonts w:ascii="Republika" w:hAnsi="Republika"/>
              <w:sz w:val="60"/>
              <w:szCs w:val="60"/>
            </w:rPr>
          </w:pPr>
        </w:p>
        <w:p w14:paraId="2B3FAF5C" w14:textId="77777777" w:rsidR="000B0B21" w:rsidRPr="006D42D9" w:rsidRDefault="000B0B21" w:rsidP="006D42D9">
          <w:pPr>
            <w:rPr>
              <w:rFonts w:ascii="Republika" w:hAnsi="Republika"/>
              <w:sz w:val="60"/>
              <w:szCs w:val="60"/>
            </w:rPr>
          </w:pPr>
        </w:p>
        <w:p w14:paraId="453727E0" w14:textId="77777777" w:rsidR="000B0B21" w:rsidRPr="006D42D9" w:rsidRDefault="000B0B21" w:rsidP="006D42D9">
          <w:pPr>
            <w:rPr>
              <w:rFonts w:ascii="Republika" w:hAnsi="Republika"/>
              <w:sz w:val="60"/>
              <w:szCs w:val="60"/>
            </w:rPr>
          </w:pPr>
        </w:p>
        <w:p w14:paraId="700192D7" w14:textId="77777777" w:rsidR="000B0B21" w:rsidRPr="006D42D9" w:rsidRDefault="000B0B21" w:rsidP="006D42D9">
          <w:pPr>
            <w:rPr>
              <w:rFonts w:ascii="Republika" w:hAnsi="Republika"/>
              <w:sz w:val="60"/>
              <w:szCs w:val="60"/>
            </w:rPr>
          </w:pPr>
        </w:p>
        <w:p w14:paraId="076B337A" w14:textId="77777777" w:rsidR="000B0B21" w:rsidRPr="006D42D9" w:rsidRDefault="000B0B21" w:rsidP="006D42D9">
          <w:pPr>
            <w:rPr>
              <w:rFonts w:ascii="Republika" w:hAnsi="Republika"/>
              <w:sz w:val="60"/>
              <w:szCs w:val="60"/>
            </w:rPr>
          </w:pPr>
        </w:p>
        <w:p w14:paraId="36A27C0E" w14:textId="77777777" w:rsidR="000B0B21" w:rsidRPr="006D42D9" w:rsidRDefault="000B0B21" w:rsidP="006D42D9">
          <w:pPr>
            <w:rPr>
              <w:rFonts w:ascii="Republika" w:hAnsi="Republika"/>
              <w:sz w:val="60"/>
              <w:szCs w:val="60"/>
            </w:rPr>
          </w:pPr>
        </w:p>
      </w:tc>
    </w:tr>
  </w:tbl>
  <w:p w14:paraId="0370A0E4" w14:textId="77777777" w:rsidR="000B0B21" w:rsidRPr="008F3500" w:rsidRDefault="00E74EC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635AC640" wp14:editId="2C74800F">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04B1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0B0B21" w:rsidRPr="008F3500">
      <w:rPr>
        <w:rFonts w:ascii="Republika" w:hAnsi="Republika"/>
      </w:rPr>
      <w:t>REPUBLIKA SLOVENIJA</w:t>
    </w:r>
  </w:p>
  <w:p w14:paraId="12D8F757" w14:textId="77777777" w:rsidR="000B0B21" w:rsidRPr="008F3500" w:rsidRDefault="00A12D5C"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28957409" w14:textId="77777777" w:rsidR="00ED7E82" w:rsidRDefault="00F907E8"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w:t>
    </w:r>
    <w:r w:rsidR="00A12D5C">
      <w:rPr>
        <w:rFonts w:ascii="Republika" w:hAnsi="Republika"/>
        <w:caps/>
      </w:rPr>
      <w:t xml:space="preserve"> uprava Republike Slovenije</w:t>
    </w:r>
  </w:p>
  <w:p w14:paraId="0891564A" w14:textId="77777777" w:rsidR="000B0B21" w:rsidRPr="00A12D5C" w:rsidRDefault="00A12D5C" w:rsidP="00ED7E82">
    <w:pPr>
      <w:pStyle w:val="Glava"/>
      <w:tabs>
        <w:tab w:val="clear" w:pos="4320"/>
        <w:tab w:val="clear" w:pos="8640"/>
        <w:tab w:val="left" w:pos="5112"/>
      </w:tabs>
      <w:spacing w:before="120" w:line="240" w:lineRule="exact"/>
      <w:rPr>
        <w:rFonts w:ascii="Republika" w:hAnsi="Republika"/>
        <w:caps/>
      </w:rPr>
    </w:pPr>
    <w:r>
      <w:rPr>
        <w:rFonts w:ascii="Republika" w:hAnsi="Republika"/>
      </w:rPr>
      <w:t xml:space="preserve">Generalni </w:t>
    </w:r>
    <w:r w:rsidR="00F907E8">
      <w:rPr>
        <w:rFonts w:ascii="Republika" w:hAnsi="Republika"/>
      </w:rPr>
      <w:t>finančni</w:t>
    </w:r>
    <w:r>
      <w:rPr>
        <w:rFonts w:ascii="Republika" w:hAnsi="Republika"/>
      </w:rPr>
      <w:t xml:space="preserve"> urad</w:t>
    </w:r>
  </w:p>
  <w:p w14:paraId="4AA80044" w14:textId="77777777" w:rsidR="000B0B21" w:rsidRPr="008F3500" w:rsidRDefault="00A12D5C" w:rsidP="00ED7E82">
    <w:pPr>
      <w:pStyle w:val="Glava"/>
      <w:tabs>
        <w:tab w:val="clear" w:pos="4320"/>
        <w:tab w:val="clear" w:pos="8640"/>
        <w:tab w:val="left" w:pos="5112"/>
      </w:tabs>
      <w:spacing w:before="240" w:line="240" w:lineRule="exact"/>
      <w:rPr>
        <w:rFonts w:cs="Arial"/>
        <w:sz w:val="16"/>
      </w:rPr>
    </w:pPr>
    <w:r>
      <w:rPr>
        <w:rFonts w:cs="Arial"/>
        <w:sz w:val="16"/>
      </w:rPr>
      <w:t xml:space="preserve">Šmartinska cesta 55, </w:t>
    </w:r>
    <w:proofErr w:type="spellStart"/>
    <w:r>
      <w:rPr>
        <w:rFonts w:cs="Arial"/>
        <w:sz w:val="16"/>
      </w:rPr>
      <w:t>p.p</w:t>
    </w:r>
    <w:proofErr w:type="spellEnd"/>
    <w:r>
      <w:rPr>
        <w:rFonts w:cs="Arial"/>
        <w:sz w:val="16"/>
      </w:rPr>
      <w:t>. 631</w:t>
    </w:r>
    <w:r w:rsidR="000B0B21" w:rsidRPr="008F3500">
      <w:rPr>
        <w:rFonts w:cs="Arial"/>
        <w:sz w:val="16"/>
      </w:rPr>
      <w:t xml:space="preserve">, </w:t>
    </w:r>
    <w:r>
      <w:rPr>
        <w:rFonts w:cs="Arial"/>
        <w:sz w:val="16"/>
      </w:rPr>
      <w:t>1001 Ljubljana</w:t>
    </w:r>
    <w:r w:rsidR="000B0B21" w:rsidRPr="008F3500">
      <w:rPr>
        <w:rFonts w:cs="Arial"/>
        <w:sz w:val="16"/>
      </w:rPr>
      <w:tab/>
      <w:t xml:space="preserve">T: </w:t>
    </w:r>
    <w:r>
      <w:rPr>
        <w:rFonts w:cs="Arial"/>
        <w:sz w:val="16"/>
      </w:rPr>
      <w:t xml:space="preserve">01 478 </w:t>
    </w:r>
    <w:r w:rsidR="00F907E8">
      <w:rPr>
        <w:rFonts w:cs="Arial"/>
        <w:sz w:val="16"/>
      </w:rPr>
      <w:t>38</w:t>
    </w:r>
    <w:r>
      <w:rPr>
        <w:rFonts w:cs="Arial"/>
        <w:sz w:val="16"/>
      </w:rPr>
      <w:t xml:space="preserve"> 00</w:t>
    </w:r>
  </w:p>
  <w:p w14:paraId="2A1F1110" w14:textId="77777777" w:rsidR="000B0B21" w:rsidRPr="008F3500" w:rsidRDefault="000B0B21"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A12D5C">
      <w:rPr>
        <w:rFonts w:cs="Arial"/>
        <w:sz w:val="16"/>
      </w:rPr>
      <w:t xml:space="preserve">01 478 </w:t>
    </w:r>
    <w:r w:rsidR="00F907E8">
      <w:rPr>
        <w:rFonts w:cs="Arial"/>
        <w:sz w:val="16"/>
      </w:rPr>
      <w:t>39</w:t>
    </w:r>
    <w:r w:rsidR="00A12D5C">
      <w:rPr>
        <w:rFonts w:cs="Arial"/>
        <w:sz w:val="16"/>
      </w:rPr>
      <w:t xml:space="preserve"> </w:t>
    </w:r>
    <w:r w:rsidR="00F907E8">
      <w:rPr>
        <w:rFonts w:cs="Arial"/>
        <w:sz w:val="16"/>
      </w:rPr>
      <w:t>00</w:t>
    </w:r>
    <w:r w:rsidRPr="008F3500">
      <w:rPr>
        <w:rFonts w:cs="Arial"/>
        <w:sz w:val="16"/>
      </w:rPr>
      <w:t xml:space="preserve"> </w:t>
    </w:r>
  </w:p>
  <w:p w14:paraId="04DE5CEC" w14:textId="77777777" w:rsidR="000B0B21" w:rsidRPr="008F3500" w:rsidRDefault="000B0B21"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07E8">
      <w:rPr>
        <w:rFonts w:cs="Arial"/>
        <w:sz w:val="16"/>
      </w:rPr>
      <w:t>gfu</w:t>
    </w:r>
    <w:r w:rsidR="00A12D5C">
      <w:rPr>
        <w:rFonts w:cs="Arial"/>
        <w:sz w:val="16"/>
      </w:rPr>
      <w:t>.</w:t>
    </w:r>
    <w:r w:rsidR="00F907E8">
      <w:rPr>
        <w:rFonts w:cs="Arial"/>
        <w:sz w:val="16"/>
      </w:rPr>
      <w:t>fu</w:t>
    </w:r>
    <w:r w:rsidR="00A12D5C">
      <w:rPr>
        <w:rFonts w:cs="Arial"/>
        <w:sz w:val="16"/>
      </w:rPr>
      <w:t>@gov.si</w:t>
    </w:r>
  </w:p>
  <w:p w14:paraId="619F6F7F" w14:textId="77777777" w:rsidR="000B0B21" w:rsidRPr="008F3500" w:rsidRDefault="000B0B21" w:rsidP="007D75CF">
    <w:pPr>
      <w:pStyle w:val="Glava"/>
      <w:tabs>
        <w:tab w:val="clear" w:pos="4320"/>
        <w:tab w:val="clear" w:pos="8640"/>
        <w:tab w:val="left" w:pos="5112"/>
      </w:tabs>
      <w:spacing w:line="240" w:lineRule="exact"/>
      <w:rPr>
        <w:rFonts w:cs="Arial"/>
        <w:sz w:val="16"/>
      </w:rPr>
    </w:pPr>
    <w:r w:rsidRPr="008F3500">
      <w:rPr>
        <w:rFonts w:cs="Arial"/>
        <w:sz w:val="16"/>
      </w:rPr>
      <w:tab/>
    </w:r>
    <w:r w:rsidR="00A12D5C">
      <w:rPr>
        <w:rFonts w:cs="Arial"/>
        <w:sz w:val="16"/>
      </w:rPr>
      <w:t>www.</w:t>
    </w:r>
    <w:r w:rsidR="00F907E8">
      <w:rPr>
        <w:rFonts w:cs="Arial"/>
        <w:sz w:val="16"/>
      </w:rPr>
      <w:t>fu</w:t>
    </w:r>
    <w:r w:rsidR="00A12D5C">
      <w:rPr>
        <w:rFonts w:cs="Arial"/>
        <w:sz w:val="16"/>
      </w:rPr>
      <w:t>.gov.si</w:t>
    </w:r>
  </w:p>
  <w:p w14:paraId="3C8549F5" w14:textId="77777777" w:rsidR="000B0B21" w:rsidRPr="008F3500" w:rsidRDefault="000B0B2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5CD5B05"/>
    <w:multiLevelType w:val="hybridMultilevel"/>
    <w:tmpl w:val="F9329B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EB32A9C"/>
    <w:multiLevelType w:val="hybridMultilevel"/>
    <w:tmpl w:val="336629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4C27DAB"/>
    <w:multiLevelType w:val="hybridMultilevel"/>
    <w:tmpl w:val="2196FD00"/>
    <w:lvl w:ilvl="0" w:tplc="F858DD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D2"/>
    <w:rsid w:val="000063FF"/>
    <w:rsid w:val="00020EB0"/>
    <w:rsid w:val="00021AFF"/>
    <w:rsid w:val="00023A88"/>
    <w:rsid w:val="00024A53"/>
    <w:rsid w:val="000313F8"/>
    <w:rsid w:val="00043A54"/>
    <w:rsid w:val="00061F4B"/>
    <w:rsid w:val="0008352D"/>
    <w:rsid w:val="00095E8D"/>
    <w:rsid w:val="000A7238"/>
    <w:rsid w:val="000B0B21"/>
    <w:rsid w:val="001357B2"/>
    <w:rsid w:val="00174956"/>
    <w:rsid w:val="00177BB1"/>
    <w:rsid w:val="00186919"/>
    <w:rsid w:val="0019081F"/>
    <w:rsid w:val="001966B4"/>
    <w:rsid w:val="001A3BA5"/>
    <w:rsid w:val="001B5998"/>
    <w:rsid w:val="001F19A2"/>
    <w:rsid w:val="001F7BC0"/>
    <w:rsid w:val="002013A7"/>
    <w:rsid w:val="00202A77"/>
    <w:rsid w:val="00245E87"/>
    <w:rsid w:val="002506EC"/>
    <w:rsid w:val="00271CE5"/>
    <w:rsid w:val="00282020"/>
    <w:rsid w:val="00282F1E"/>
    <w:rsid w:val="00295DAA"/>
    <w:rsid w:val="002A5510"/>
    <w:rsid w:val="002B1505"/>
    <w:rsid w:val="002C4CB2"/>
    <w:rsid w:val="002D2543"/>
    <w:rsid w:val="002E14E4"/>
    <w:rsid w:val="002F6820"/>
    <w:rsid w:val="0030496C"/>
    <w:rsid w:val="003636BF"/>
    <w:rsid w:val="00370AA7"/>
    <w:rsid w:val="0037479F"/>
    <w:rsid w:val="003845B4"/>
    <w:rsid w:val="00387B1A"/>
    <w:rsid w:val="00391DA7"/>
    <w:rsid w:val="00393D5A"/>
    <w:rsid w:val="003D7DA5"/>
    <w:rsid w:val="003E1C74"/>
    <w:rsid w:val="003F34F8"/>
    <w:rsid w:val="00405269"/>
    <w:rsid w:val="004056E7"/>
    <w:rsid w:val="00417252"/>
    <w:rsid w:val="00423C9B"/>
    <w:rsid w:val="004447C4"/>
    <w:rsid w:val="00491AEA"/>
    <w:rsid w:val="004A41FF"/>
    <w:rsid w:val="004A6BC0"/>
    <w:rsid w:val="004E5D13"/>
    <w:rsid w:val="00526246"/>
    <w:rsid w:val="00544E90"/>
    <w:rsid w:val="00567106"/>
    <w:rsid w:val="0057166C"/>
    <w:rsid w:val="005C4D2B"/>
    <w:rsid w:val="005E1D3C"/>
    <w:rsid w:val="005E2F1E"/>
    <w:rsid w:val="00632253"/>
    <w:rsid w:val="00642714"/>
    <w:rsid w:val="00643C4E"/>
    <w:rsid w:val="00644D49"/>
    <w:rsid w:val="006455CE"/>
    <w:rsid w:val="00663EA6"/>
    <w:rsid w:val="00674420"/>
    <w:rsid w:val="006D42D9"/>
    <w:rsid w:val="006F5548"/>
    <w:rsid w:val="00706E00"/>
    <w:rsid w:val="00726463"/>
    <w:rsid w:val="00733017"/>
    <w:rsid w:val="00740E3C"/>
    <w:rsid w:val="00745D7B"/>
    <w:rsid w:val="00751D38"/>
    <w:rsid w:val="00783310"/>
    <w:rsid w:val="007A4A6D"/>
    <w:rsid w:val="007D1BCF"/>
    <w:rsid w:val="007D46CE"/>
    <w:rsid w:val="007D75CF"/>
    <w:rsid w:val="007E6DC5"/>
    <w:rsid w:val="0080201F"/>
    <w:rsid w:val="00817E84"/>
    <w:rsid w:val="008204A8"/>
    <w:rsid w:val="00821286"/>
    <w:rsid w:val="00824156"/>
    <w:rsid w:val="008322C0"/>
    <w:rsid w:val="00842878"/>
    <w:rsid w:val="0088043C"/>
    <w:rsid w:val="00890445"/>
    <w:rsid w:val="008906C9"/>
    <w:rsid w:val="008B4CD4"/>
    <w:rsid w:val="008C3D0F"/>
    <w:rsid w:val="008C5738"/>
    <w:rsid w:val="008C6B46"/>
    <w:rsid w:val="008D04F0"/>
    <w:rsid w:val="008F3500"/>
    <w:rsid w:val="00924E3C"/>
    <w:rsid w:val="00940BD5"/>
    <w:rsid w:val="009417B5"/>
    <w:rsid w:val="00944E51"/>
    <w:rsid w:val="00944ED7"/>
    <w:rsid w:val="009612BB"/>
    <w:rsid w:val="00967E63"/>
    <w:rsid w:val="00975416"/>
    <w:rsid w:val="009D4874"/>
    <w:rsid w:val="009F075E"/>
    <w:rsid w:val="009F2137"/>
    <w:rsid w:val="009F78C3"/>
    <w:rsid w:val="00A125C5"/>
    <w:rsid w:val="00A12D5C"/>
    <w:rsid w:val="00A40FCE"/>
    <w:rsid w:val="00A5039D"/>
    <w:rsid w:val="00A55904"/>
    <w:rsid w:val="00A65EE7"/>
    <w:rsid w:val="00A70133"/>
    <w:rsid w:val="00AB20C8"/>
    <w:rsid w:val="00AC0730"/>
    <w:rsid w:val="00AC5C16"/>
    <w:rsid w:val="00AE68D4"/>
    <w:rsid w:val="00B17141"/>
    <w:rsid w:val="00B27738"/>
    <w:rsid w:val="00B31575"/>
    <w:rsid w:val="00B6386B"/>
    <w:rsid w:val="00B8547D"/>
    <w:rsid w:val="00B97640"/>
    <w:rsid w:val="00BA2B6F"/>
    <w:rsid w:val="00BA6227"/>
    <w:rsid w:val="00BC2CC6"/>
    <w:rsid w:val="00BC4427"/>
    <w:rsid w:val="00BD303E"/>
    <w:rsid w:val="00BE1322"/>
    <w:rsid w:val="00C02E10"/>
    <w:rsid w:val="00C250D5"/>
    <w:rsid w:val="00C47F8D"/>
    <w:rsid w:val="00C64A61"/>
    <w:rsid w:val="00C672BF"/>
    <w:rsid w:val="00C81391"/>
    <w:rsid w:val="00C92898"/>
    <w:rsid w:val="00CA6C35"/>
    <w:rsid w:val="00CE7514"/>
    <w:rsid w:val="00D1710C"/>
    <w:rsid w:val="00D20134"/>
    <w:rsid w:val="00D248DE"/>
    <w:rsid w:val="00D272FF"/>
    <w:rsid w:val="00D8542D"/>
    <w:rsid w:val="00D96278"/>
    <w:rsid w:val="00DB7B1F"/>
    <w:rsid w:val="00DC5EF9"/>
    <w:rsid w:val="00DC6A71"/>
    <w:rsid w:val="00DD79E5"/>
    <w:rsid w:val="00DE5B46"/>
    <w:rsid w:val="00E0357D"/>
    <w:rsid w:val="00E24EC2"/>
    <w:rsid w:val="00E33F5B"/>
    <w:rsid w:val="00E57509"/>
    <w:rsid w:val="00E74EC9"/>
    <w:rsid w:val="00ED7E82"/>
    <w:rsid w:val="00F124D6"/>
    <w:rsid w:val="00F240BB"/>
    <w:rsid w:val="00F454D2"/>
    <w:rsid w:val="00F46724"/>
    <w:rsid w:val="00F57FED"/>
    <w:rsid w:val="00F771EE"/>
    <w:rsid w:val="00F81526"/>
    <w:rsid w:val="00F907E8"/>
    <w:rsid w:val="00F96CA1"/>
    <w:rsid w:val="00FA3BDB"/>
    <w:rsid w:val="00FB47CC"/>
    <w:rsid w:val="00FD0F7E"/>
    <w:rsid w:val="00FD19FF"/>
    <w:rsid w:val="00FD2876"/>
    <w:rsid w:val="00FE7FD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4:docId w14:val="57104574"/>
  <w15:chartTrackingRefBased/>
  <w15:docId w15:val="{E8F48F34-DCBD-4939-8375-EAD4589F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FB47CC"/>
    <w:pPr>
      <w:spacing w:after="160" w:line="259" w:lineRule="auto"/>
      <w:ind w:left="720"/>
      <w:contextualSpacing/>
    </w:pPr>
    <w:rPr>
      <w:rFonts w:asciiTheme="minorHAnsi" w:eastAsiaTheme="minorHAnsi" w:hAnsiTheme="minorHAnsi" w:cstheme="minorBidi"/>
      <w:sz w:val="22"/>
      <w:szCs w:val="22"/>
    </w:rPr>
  </w:style>
  <w:style w:type="character" w:styleId="Pripombasklic">
    <w:name w:val="annotation reference"/>
    <w:basedOn w:val="Privzetapisavaodstavka"/>
    <w:rsid w:val="00C672BF"/>
    <w:rPr>
      <w:sz w:val="16"/>
      <w:szCs w:val="16"/>
    </w:rPr>
  </w:style>
  <w:style w:type="paragraph" w:styleId="Pripombabesedilo">
    <w:name w:val="annotation text"/>
    <w:basedOn w:val="Navaden"/>
    <w:link w:val="PripombabesediloZnak"/>
    <w:rsid w:val="00C672BF"/>
    <w:pPr>
      <w:spacing w:line="240" w:lineRule="auto"/>
    </w:pPr>
    <w:rPr>
      <w:szCs w:val="20"/>
    </w:rPr>
  </w:style>
  <w:style w:type="character" w:customStyle="1" w:styleId="PripombabesediloZnak">
    <w:name w:val="Pripomba – besedilo Znak"/>
    <w:basedOn w:val="Privzetapisavaodstavka"/>
    <w:link w:val="Pripombabesedilo"/>
    <w:rsid w:val="00C672BF"/>
    <w:rPr>
      <w:rFonts w:ascii="Arial" w:hAnsi="Arial"/>
      <w:lang w:eastAsia="en-US"/>
    </w:rPr>
  </w:style>
  <w:style w:type="paragraph" w:styleId="Zadevapripombe">
    <w:name w:val="annotation subject"/>
    <w:basedOn w:val="Pripombabesedilo"/>
    <w:next w:val="Pripombabesedilo"/>
    <w:link w:val="ZadevapripombeZnak"/>
    <w:rsid w:val="00C672BF"/>
    <w:rPr>
      <w:b/>
      <w:bCs/>
    </w:rPr>
  </w:style>
  <w:style w:type="character" w:customStyle="1" w:styleId="ZadevapripombeZnak">
    <w:name w:val="Zadeva pripombe Znak"/>
    <w:basedOn w:val="PripombabesediloZnak"/>
    <w:link w:val="Zadevapripombe"/>
    <w:rsid w:val="00C672BF"/>
    <w:rPr>
      <w:rFonts w:ascii="Arial" w:hAnsi="Arial"/>
      <w:b/>
      <w:bCs/>
      <w:lang w:eastAsia="en-US"/>
    </w:rPr>
  </w:style>
  <w:style w:type="paragraph" w:styleId="Besedilooblaka">
    <w:name w:val="Balloon Text"/>
    <w:basedOn w:val="Navaden"/>
    <w:link w:val="BesedilooblakaZnak"/>
    <w:rsid w:val="00C672B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C672B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Predloge\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D4A041-40B1-4E12-8739-99D9912A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GFU.dot</Template>
  <TotalTime>1</TotalTime>
  <Pages>6</Pages>
  <Words>3176</Words>
  <Characters>17529</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Nina Vačovnik-Goršek</dc:creator>
  <cp:keywords/>
  <cp:lastModifiedBy>Eva Zontar</cp:lastModifiedBy>
  <cp:revision>2</cp:revision>
  <cp:lastPrinted>2018-08-16T09:11:00Z</cp:lastPrinted>
  <dcterms:created xsi:type="dcterms:W3CDTF">2018-09-06T20:27:00Z</dcterms:created>
  <dcterms:modified xsi:type="dcterms:W3CDTF">2018-09-06T20:27:00Z</dcterms:modified>
</cp:coreProperties>
</file>